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00" w:rsidRPr="00A96616" w:rsidRDefault="00F17F9E" w:rsidP="00564400">
      <w:pPr>
        <w:shd w:val="clear" w:color="auto" w:fill="FFFFFF"/>
        <w:spacing w:after="225" w:line="306" w:lineRule="atLeast"/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</w:pPr>
      <w:bookmarkStart w:id="0" w:name="_GoBack"/>
      <w:r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>Tema</w:t>
      </w:r>
      <w:r w:rsidR="00FC2C0C"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 xml:space="preserve"> </w:t>
      </w:r>
      <w:r w:rsidR="00A504D7"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>3.0</w:t>
      </w:r>
      <w:r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 xml:space="preserve"> LAS </w:t>
      </w:r>
      <w:r w:rsidR="00564400" w:rsidRPr="00A96616"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>NORMAS INTERNACIONALES DE INFORMACI</w:t>
      </w:r>
      <w:r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>0</w:t>
      </w:r>
      <w:r w:rsidR="00564400" w:rsidRPr="00A96616"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>N FINANCIERA</w:t>
      </w:r>
      <w:r w:rsidR="00564400"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:</w:t>
      </w:r>
    </w:p>
    <w:p w:rsidR="00564400" w:rsidRDefault="00564400" w:rsidP="00564400">
      <w:pPr>
        <w:shd w:val="clear" w:color="auto" w:fill="FFFFFF"/>
        <w:spacing w:after="225" w:line="306" w:lineRule="atLeast"/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</w:pP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Las Normas Internacionales de Información Financiera (NIIF) y Normas Internacionales de Contabilidad (NIC) son un conjunto de Normas, leyes y principios que establecen la información que se deben presentar en los estados financieros y la forma de cómo se debe presentar esta información en dichos estados.</w:t>
      </w:r>
    </w:p>
    <w:p w:rsidR="00443890" w:rsidRPr="00443890" w:rsidRDefault="00443890" w:rsidP="00443890">
      <w:pPr>
        <w:shd w:val="clear" w:color="auto" w:fill="FFFFFF"/>
        <w:spacing w:before="120" w:after="120" w:line="336" w:lineRule="atLeast"/>
        <w:jc w:val="both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Las </w:t>
      </w:r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Normas Internacionales de Información Financiera</w:t>
      </w: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 (</w:t>
      </w:r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NIIF</w:t>
      </w: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), también conocidas por sus siglas en </w:t>
      </w:r>
      <w:hyperlink r:id="rId9" w:tooltip="Idioma inglés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inglés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 como </w:t>
      </w:r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IFRS</w:t>
      </w: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(</w:t>
      </w:r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 xml:space="preserve">International </w:t>
      </w:r>
      <w:proofErr w:type="spellStart"/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Finan</w:t>
      </w:r>
      <w:r w:rsidR="00CF4461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t</w:t>
      </w:r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ial</w:t>
      </w:r>
      <w:proofErr w:type="spellEnd"/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 xml:space="preserve"> </w:t>
      </w:r>
      <w:proofErr w:type="spellStart"/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Reporting</w:t>
      </w:r>
      <w:proofErr w:type="spellEnd"/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 xml:space="preserve"> Standard</w:t>
      </w: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), son estándares técnicos contables adoptadas por el </w:t>
      </w:r>
      <w:hyperlink r:id="rId10" w:tooltip="Junta de Normas Internacionales de Contabilidad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IASB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, institución privada con sede en </w:t>
      </w:r>
      <w:hyperlink r:id="rId11" w:tooltip="Londres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Londres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 xml:space="preserve">. </w:t>
      </w:r>
      <w:r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 xml:space="preserve"> </w:t>
      </w: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Constituyen los </w:t>
      </w:r>
      <w:r w:rsidRPr="00443890">
        <w:rPr>
          <w:rFonts w:ascii="Comic Sans MS" w:eastAsia="Times New Roman" w:hAnsi="Comic Sans MS" w:cs="Arial"/>
          <w:b/>
          <w:bCs/>
          <w:color w:val="252525"/>
          <w:sz w:val="21"/>
          <w:szCs w:val="21"/>
          <w:lang w:eastAsia="es-VE"/>
        </w:rPr>
        <w:t>Estándares Internacionales</w:t>
      </w: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 o normas internacionales en el desarrollo de la actividad contable y suponen un manual contable de la forma como es aceptable en el mundo.</w:t>
      </w:r>
    </w:p>
    <w:p w:rsidR="00443890" w:rsidRPr="00443890" w:rsidRDefault="00443890" w:rsidP="00443890">
      <w:pPr>
        <w:shd w:val="clear" w:color="auto" w:fill="FFFFFF"/>
        <w:spacing w:before="120" w:after="120" w:line="336" w:lineRule="atLeast"/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</w:pP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Las normas se conocen con las siglas NIC y NIIF dependiendo de cuándo fueron aprobadas y se matizan a través de las "interpretaciones" que se conocen con las siglas </w:t>
      </w:r>
      <w:hyperlink r:id="rId12" w:tooltip="Sistema de información contable (aún no redactado)" w:history="1">
        <w:r w:rsidRPr="00443890">
          <w:rPr>
            <w:rFonts w:ascii="Comic Sans MS" w:eastAsia="Times New Roman" w:hAnsi="Comic Sans MS" w:cs="Arial"/>
            <w:color w:val="A55858"/>
            <w:sz w:val="21"/>
            <w:szCs w:val="21"/>
            <w:lang w:eastAsia="es-VE"/>
          </w:rPr>
          <w:t>SIC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 y </w:t>
      </w:r>
      <w:hyperlink r:id="rId13" w:tooltip="CINIIF (aún no redactado)" w:history="1">
        <w:r w:rsidRPr="00443890">
          <w:rPr>
            <w:rFonts w:ascii="Comic Sans MS" w:eastAsia="Times New Roman" w:hAnsi="Comic Sans MS" w:cs="Arial"/>
            <w:color w:val="A55858"/>
            <w:sz w:val="21"/>
            <w:szCs w:val="21"/>
            <w:lang w:eastAsia="es-VE"/>
          </w:rPr>
          <w:t>CINIIF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.</w:t>
      </w:r>
    </w:p>
    <w:p w:rsidR="00443890" w:rsidRPr="00443890" w:rsidRDefault="00443890" w:rsidP="0044389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VE"/>
        </w:rPr>
      </w:pPr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Las normas contables dictadas entre </w:t>
      </w:r>
      <w:hyperlink r:id="rId14" w:tooltip="1973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1973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 y </w:t>
      </w:r>
      <w:hyperlink r:id="rId15" w:tooltip="2001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2001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, reciben el nombre de "Normas Internacionales de Contabilidad" (NIC) y fueron dictadas por el </w:t>
      </w:r>
      <w:hyperlink r:id="rId16" w:tooltip="Comité de Normas Internacionales de Contabilidad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IASC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, precedente del actual </w:t>
      </w:r>
      <w:hyperlink r:id="rId17" w:tooltip="Junta de Normas Internacionales de Contabilidad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IASB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. Desde abril de 2001, año de constitución del </w:t>
      </w:r>
      <w:hyperlink r:id="rId18" w:tooltip="Junta de Normas Internacionales de Contabilidad" w:history="1">
        <w:r w:rsidRPr="00443890">
          <w:rPr>
            <w:rFonts w:ascii="Comic Sans MS" w:eastAsia="Times New Roman" w:hAnsi="Comic Sans MS" w:cs="Arial"/>
            <w:color w:val="0B0080"/>
            <w:sz w:val="21"/>
            <w:szCs w:val="21"/>
            <w:lang w:eastAsia="es-VE"/>
          </w:rPr>
          <w:t>IASB</w:t>
        </w:r>
      </w:hyperlink>
      <w:r w:rsidRPr="00443890">
        <w:rPr>
          <w:rFonts w:ascii="Comic Sans MS" w:eastAsia="Times New Roman" w:hAnsi="Comic Sans MS" w:cs="Arial"/>
          <w:color w:val="252525"/>
          <w:sz w:val="21"/>
          <w:szCs w:val="21"/>
          <w:lang w:eastAsia="es-VE"/>
        </w:rPr>
        <w:t>, este organismo adoptó todas las NIC y continuó su desarrollo, denominando a las nuevas normas "Normas Internacionales de Información Financiera" (NIIF). Los IFRS - NIIF en</w:t>
      </w:r>
      <w:r w:rsidRPr="00443890">
        <w:rPr>
          <w:rFonts w:ascii="Arial" w:eastAsia="Times New Roman" w:hAnsi="Arial" w:cs="Arial"/>
          <w:color w:val="252525"/>
          <w:sz w:val="21"/>
          <w:szCs w:val="21"/>
          <w:lang w:eastAsia="es-VE"/>
        </w:rPr>
        <w:t xml:space="preserve"> los estados financieros desconocen los impactos sociales y ambientales que originan las organizaciones.</w:t>
      </w:r>
    </w:p>
    <w:p w:rsidR="00443890" w:rsidRPr="00A96616" w:rsidRDefault="00443890" w:rsidP="00564400">
      <w:pPr>
        <w:shd w:val="clear" w:color="auto" w:fill="FFFFFF"/>
        <w:spacing w:after="225" w:line="306" w:lineRule="atLeast"/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</w:pPr>
    </w:p>
    <w:p w:rsidR="00564400" w:rsidRPr="00A96616" w:rsidRDefault="00564400" w:rsidP="00564400">
      <w:pPr>
        <w:shd w:val="clear" w:color="auto" w:fill="FFFFFF"/>
        <w:spacing w:after="225" w:line="306" w:lineRule="atLeast"/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</w:pPr>
      <w:r w:rsidRPr="00A96616">
        <w:rPr>
          <w:rFonts w:ascii="Comic Sans MS" w:eastAsia="Times New Roman" w:hAnsi="Comic Sans MS" w:cs="Helvetica"/>
          <w:b/>
          <w:color w:val="666666"/>
          <w:sz w:val="20"/>
          <w:szCs w:val="18"/>
          <w:lang w:eastAsia="es-VE"/>
        </w:rPr>
        <w:t> ¿CUALES SON LOS OBJETIVOS DE ESTAS NORMAS?</w:t>
      </w:r>
    </w:p>
    <w:p w:rsidR="00A96616" w:rsidRDefault="00564400" w:rsidP="00564400">
      <w:pPr>
        <w:shd w:val="clear" w:color="auto" w:fill="FFFFFF"/>
        <w:spacing w:after="225" w:line="306" w:lineRule="atLeast"/>
        <w:rPr>
          <w:rFonts w:ascii="Comic Sans MS" w:eastAsia="Times New Roman" w:hAnsi="Comic Sans MS" w:cs="Helvetica"/>
          <w:color w:val="666666"/>
          <w:sz w:val="20"/>
          <w:szCs w:val="18"/>
          <w:lang w:val="en-US" w:eastAsia="es-VE"/>
        </w:rPr>
      </w:pP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El objetivo</w:t>
      </w:r>
      <w:r w:rsidR="00A96616"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fundamental</w:t>
      </w: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de estas normas</w:t>
      </w:r>
      <w:r w:rsidR="00A96616"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, además de </w:t>
      </w: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reflejar la imagen fiel de la empresa, tanto en su aspecto operacional como en su situación financiera</w:t>
      </w:r>
      <w:r w:rsidR="00A96616"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,  </w:t>
      </w: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es </w:t>
      </w:r>
      <w:r w:rsid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que </w:t>
      </w: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ante la globalización</w:t>
      </w:r>
      <w:r w:rsidR="00443890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</w:t>
      </w:r>
      <w:r w:rsid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i</w:t>
      </w:r>
      <w:r w:rsidR="00443890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n</w:t>
      </w:r>
      <w:r w:rsid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ternacional</w:t>
      </w: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</w:t>
      </w:r>
      <w:r w:rsid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se debe contar  </w:t>
      </w: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normas contables homogéneas, las cuales permitan la comparabilidad de los estados financieros </w:t>
      </w:r>
      <w:r w:rsid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 a nivel de cualquier país del orbe </w:t>
      </w: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y también permitir mayor transparencia de información</w:t>
      </w:r>
      <w:r w:rsid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 xml:space="preserve">. </w:t>
      </w:r>
      <w:proofErr w:type="gramStart"/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val="en-US" w:eastAsia="es-VE"/>
        </w:rPr>
        <w:t xml:space="preserve">Son </w:t>
      </w:r>
      <w:proofErr w:type="spellStart"/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val="en-US" w:eastAsia="es-VE"/>
        </w:rPr>
        <w:t>emitidas</w:t>
      </w:r>
      <w:proofErr w:type="spellEnd"/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val="en-US" w:eastAsia="es-VE"/>
        </w:rPr>
        <w:t xml:space="preserve"> </w:t>
      </w:r>
      <w:proofErr w:type="spellStart"/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val="en-US" w:eastAsia="es-VE"/>
        </w:rPr>
        <w:t>por</w:t>
      </w:r>
      <w:proofErr w:type="spellEnd"/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val="en-US" w:eastAsia="es-VE"/>
        </w:rPr>
        <w:t xml:space="preserve"> el </w:t>
      </w:r>
      <w:r w:rsidRPr="00A96616">
        <w:rPr>
          <w:rFonts w:ascii="Comic Sans MS" w:eastAsia="Times New Roman" w:hAnsi="Comic Sans MS" w:cs="Helvetica"/>
          <w:b/>
          <w:color w:val="666666"/>
          <w:sz w:val="20"/>
          <w:szCs w:val="18"/>
          <w:u w:val="single"/>
          <w:lang w:val="en-US" w:eastAsia="es-VE"/>
        </w:rPr>
        <w:t>International Accounting Standards Board (anterior International Accounting Standards Committee).</w:t>
      </w:r>
      <w:proofErr w:type="gramEnd"/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val="en-US" w:eastAsia="es-VE"/>
        </w:rPr>
        <w:t xml:space="preserve"> </w:t>
      </w:r>
    </w:p>
    <w:p w:rsidR="00564400" w:rsidRPr="00A96616" w:rsidRDefault="00564400" w:rsidP="00564400">
      <w:pPr>
        <w:shd w:val="clear" w:color="auto" w:fill="FFFFFF"/>
        <w:spacing w:after="225" w:line="306" w:lineRule="atLeast"/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</w:pPr>
      <w:r w:rsidRPr="00A96616">
        <w:rPr>
          <w:rFonts w:ascii="Comic Sans MS" w:eastAsia="Times New Roman" w:hAnsi="Comic Sans MS" w:cs="Helvetica"/>
          <w:color w:val="666666"/>
          <w:sz w:val="20"/>
          <w:szCs w:val="18"/>
          <w:lang w:eastAsia="es-VE"/>
        </w:rPr>
        <w:t>Hasta la fecha, se han emitido 41 normas, de las que 34 están en vigor en la actualidad, junto con 30 interpretaciones</w:t>
      </w:r>
    </w:p>
    <w:p w:rsidR="00564400" w:rsidRPr="00DE7E47" w:rsidRDefault="00564400" w:rsidP="00485372">
      <w:pPr>
        <w:shd w:val="clear" w:color="auto" w:fill="FFFFFF"/>
        <w:spacing w:after="225" w:line="306" w:lineRule="atLeast"/>
        <w:jc w:val="center"/>
        <w:rPr>
          <w:rFonts w:ascii="Comic Sans MS" w:eastAsia="Times New Roman" w:hAnsi="Comic Sans MS" w:cs="Helvetica"/>
          <w:b/>
          <w:color w:val="666666"/>
          <w:sz w:val="28"/>
          <w:szCs w:val="18"/>
          <w:u w:val="single"/>
          <w:lang w:eastAsia="es-VE"/>
        </w:rPr>
      </w:pPr>
      <w:r w:rsidRPr="00DE7E47">
        <w:rPr>
          <w:rFonts w:ascii="Comic Sans MS" w:eastAsia="Times New Roman" w:hAnsi="Comic Sans MS" w:cs="Helvetica"/>
          <w:b/>
          <w:color w:val="666666"/>
          <w:sz w:val="28"/>
          <w:szCs w:val="18"/>
          <w:u w:val="single"/>
          <w:lang w:eastAsia="es-VE"/>
        </w:rPr>
        <w:t>PRINCIPALES NIIF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1 Adopción por primera vez de las NIIF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2 Pagos basados en acciones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3 Combinaciones de negocios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4 Contratos de seguros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5 Activos no corrientes mantenidos para la venta y actividades interrumpidas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6 Exploración y evaluación de recursos minerales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7 Instrumentos financieros</w:t>
      </w:r>
    </w:p>
    <w:p w:rsid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NIIF 8 Segmentos operativos</w:t>
      </w:r>
    </w:p>
    <w:p w:rsidR="00485372" w:rsidRPr="00485372" w:rsidRDefault="00485372" w:rsidP="00485372">
      <w:pPr>
        <w:shd w:val="clear" w:color="auto" w:fill="FFFFFF"/>
        <w:spacing w:after="225" w:line="306" w:lineRule="atLeast"/>
        <w:jc w:val="center"/>
        <w:rPr>
          <w:rFonts w:ascii="Comic Sans MS" w:eastAsia="Times New Roman" w:hAnsi="Comic Sans MS" w:cs="Helvetica"/>
          <w:b/>
          <w:color w:val="666666"/>
          <w:sz w:val="28"/>
          <w:szCs w:val="18"/>
          <w:u w:val="single"/>
          <w:lang w:eastAsia="es-VE"/>
        </w:rPr>
      </w:pPr>
      <w:r w:rsidRPr="00485372">
        <w:rPr>
          <w:rFonts w:ascii="Comic Sans MS" w:eastAsia="Times New Roman" w:hAnsi="Comic Sans MS" w:cs="Helvetica"/>
          <w:b/>
          <w:color w:val="666666"/>
          <w:sz w:val="28"/>
          <w:szCs w:val="18"/>
          <w:u w:val="single"/>
          <w:lang w:eastAsia="es-VE"/>
        </w:rPr>
        <w:lastRenderedPageBreak/>
        <w:t>PRINCIPALES NIC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  Presentación de estados financieros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 Existencias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7 Estado de flujos de efectivo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8 Políticas contables, cambios en las estimaciones contables y errores.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10 Hechos posteriores a la fecha del  balance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11 Contratos de Construcción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12 Impuestos a las ganancias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14 Información financiera por segmentos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16 Propiedad, planta y equipo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17 Arrendamientos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18 Ingresos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19 Retribuciones a empleados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20 Contabilización de subvenciones oficiales e información a revelar de ayudas públicas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21 Efectos de las variaciones en tipos de cambio de la monedad extranjera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23 Costos de intereses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24 Información a revelar de partes relacionadas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26 Contabilización de planes de retiro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27 Estados financieros consolidados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28 Contabilización de inversiones en empresas asociadas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29 Información financiera en economías hiperinflacionarias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31 Participación en negocios conjuntos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32 Instrumentos financieros (presentación y revelación)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33 Beneficios por acción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34 Información financiera intermedia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36 Deterioro del valor de activos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37 Provisiones, activos y pasivos contingentes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lastRenderedPageBreak/>
        <w:t>•          NIC 38 Activos intangibles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39 Instrumentos financieros (reconocimiento y valoración)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40 Inmuebles de inversión</w:t>
      </w:r>
    </w:p>
    <w:p w:rsidR="00485372" w:rsidRPr="00485372" w:rsidRDefault="00485372" w:rsidP="00485372">
      <w:pPr>
        <w:pStyle w:val="NormalWeb"/>
        <w:shd w:val="clear" w:color="auto" w:fill="FFFFFF"/>
        <w:spacing w:before="0" w:beforeAutospacing="0" w:after="225" w:afterAutospacing="0" w:line="306" w:lineRule="atLeast"/>
        <w:rPr>
          <w:rFonts w:ascii="Comic Sans MS" w:hAnsi="Comic Sans MS" w:cs="Helvetica"/>
          <w:color w:val="666666"/>
          <w:sz w:val="20"/>
          <w:szCs w:val="18"/>
        </w:rPr>
      </w:pPr>
      <w:r w:rsidRPr="00485372">
        <w:rPr>
          <w:rFonts w:ascii="Comic Sans MS" w:hAnsi="Comic Sans MS" w:cs="Helvetica"/>
          <w:color w:val="666666"/>
          <w:sz w:val="20"/>
          <w:szCs w:val="18"/>
        </w:rPr>
        <w:t>•          NIC 41 Agricultura</w:t>
      </w:r>
    </w:p>
    <w:p w:rsidR="00BA4546" w:rsidRDefault="00BA4546" w:rsidP="00BA45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es-VE"/>
        </w:rPr>
      </w:pPr>
    </w:p>
    <w:p w:rsidR="00BA4546" w:rsidRPr="00A96616" w:rsidRDefault="00BA4546" w:rsidP="00BA4546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</w:p>
    <w:p w:rsidR="00BA4546" w:rsidRPr="00A96616" w:rsidRDefault="00BA4546" w:rsidP="00BA4546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  <w:r w:rsidRPr="00F17F9E">
        <w:rPr>
          <w:rFonts w:ascii="Comic Sans MS" w:eastAsia="Times New Roman" w:hAnsi="Comic Sans MS" w:cs="Arial"/>
          <w:color w:val="666666"/>
          <w:szCs w:val="18"/>
          <w:lang w:eastAsia="es-VE"/>
        </w:rPr>
        <w:t>Las </w:t>
      </w:r>
      <w:r w:rsidRPr="00F17F9E">
        <w:rPr>
          <w:rFonts w:ascii="Comic Sans MS" w:eastAsia="Times New Roman" w:hAnsi="Comic Sans MS" w:cs="Arial"/>
          <w:b/>
          <w:bCs/>
          <w:color w:val="666666"/>
          <w:szCs w:val="18"/>
          <w:bdr w:val="none" w:sz="0" w:space="0" w:color="auto" w:frame="1"/>
          <w:lang w:eastAsia="es-VE"/>
        </w:rPr>
        <w:t>Normas de Información Financiera</w:t>
      </w:r>
      <w:r w:rsidRPr="00F17F9E">
        <w:rPr>
          <w:rFonts w:ascii="Comic Sans MS" w:eastAsia="Times New Roman" w:hAnsi="Comic Sans MS" w:cs="Arial"/>
          <w:color w:val="666666"/>
          <w:szCs w:val="18"/>
          <w:lang w:eastAsia="es-VE"/>
        </w:rPr>
        <w:t> </w:t>
      </w:r>
      <w:r w:rsidRPr="00BA454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de Venezuela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VEN-NIF</w:t>
      </w:r>
      <w:r w:rsidRPr="00BA454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), también llamadas principios de contabilidad, se clasifican en dos grandes (2) grupos:</w:t>
      </w:r>
    </w:p>
    <w:p w:rsidR="00BA4546" w:rsidRPr="00BA4546" w:rsidRDefault="00BA4546" w:rsidP="00BA4546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</w:p>
    <w:p w:rsidR="00BA4546" w:rsidRPr="00A96616" w:rsidRDefault="00BA4546" w:rsidP="00A96616">
      <w:pPr>
        <w:pStyle w:val="Prrafodelista"/>
        <w:numPr>
          <w:ilvl w:val="0"/>
          <w:numId w:val="47"/>
        </w:num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VEN-NIF GE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, correspondientes a las normas o principios de contabilidad aplicables a las Grandes Entidades y están conformados por los Boletines de Aplicación de los VEN-NIF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BA VEN-NIF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), que deben ser aplicados conjuntamente con las Normas Internacionales de Información Financiera (NIIF completas). Las NIIF completas incluye las Normas Internacionales de Contabilidad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NIC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y sus interpretaciones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SIC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emitidas por el Comité de Normas Internacionales de Contabilidad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IASC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entre los años 1973 y 2001; y las Normas Internacionales de Información Financiera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NIIF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y sus interpretaciones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CINIIF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emitidas por el Consejo de Normas Internacionales de Contabilidad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IASB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a partir del año 2001. La aplicación de los 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VEN-NIF GE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 es obligatoria en las Grandes Entidades, para los ejercicios económicos que se iniciaron a partir del 01 de enero de 2008.</w:t>
      </w:r>
    </w:p>
    <w:p w:rsidR="00BA4546" w:rsidRPr="00A96616" w:rsidRDefault="00BA4546" w:rsidP="00A9661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</w:p>
    <w:p w:rsidR="00BA4546" w:rsidRDefault="00BA4546" w:rsidP="00A96616">
      <w:pPr>
        <w:pStyle w:val="Prrafodelista"/>
        <w:numPr>
          <w:ilvl w:val="0"/>
          <w:numId w:val="47"/>
        </w:num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VEN-NIF PYME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, correspondientes a las normas o principios de contabilidad aplicables a las Pequeñas y Medianas Entidades, conformados por los Boletines de Aplicación de los VEN-NIF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BA VEN-NIF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), que deben ser aplicados conjuntamente con la Norma Internacional de Información Financiera para Pequeñas y Medianas Entidades (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NIIF para las PYMES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), emitida por el 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IASB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 en el año 2009. La aplicación de los 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VEN-NIF PYME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 es obligatoria en las Pequeñas y Medianas Entidades, para los ejercicios económicos que se iniciaron a partir del 01 de enero de 2011.</w:t>
      </w:r>
    </w:p>
    <w:p w:rsidR="00A96616" w:rsidRPr="00A96616" w:rsidRDefault="00A96616" w:rsidP="00A96616">
      <w:pPr>
        <w:pStyle w:val="Prrafodelista"/>
        <w:jc w:val="both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</w:p>
    <w:p w:rsidR="00BA4546" w:rsidRPr="00F17F9E" w:rsidRDefault="00F17F9E" w:rsidP="00F17F9E">
      <w:pPr>
        <w:pStyle w:val="Prrafodelista"/>
        <w:numPr>
          <w:ilvl w:val="0"/>
          <w:numId w:val="47"/>
        </w:num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  <w:r w:rsidRPr="00F17F9E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Los Boletines</w:t>
      </w:r>
      <w:r w:rsidR="00BA4546" w:rsidRPr="00F17F9E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 xml:space="preserve"> de aplicaciones (</w:t>
      </w:r>
      <w:r w:rsidR="00BA4546" w:rsidRPr="00F17F9E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BA VEN-NIF</w:t>
      </w:r>
      <w:r w:rsidR="00BA4546" w:rsidRPr="00F17F9E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emitidos por la Federación de Colegios de Contadores Públicos de Venezuela (</w:t>
      </w:r>
      <w:r w:rsidR="00BA4546" w:rsidRPr="00F17F9E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FCCPV</w:t>
      </w:r>
      <w:r w:rsidR="00BA4546" w:rsidRPr="00F17F9E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) especifican las normas internacionales aplicables en Venezuela y determinan su implementación práctica. Las Declaraciones de Principios de Contabilidad (DPC) y las Publicaciones Técnicas (PT) han quedado completamente derogadas.</w:t>
      </w:r>
    </w:p>
    <w:p w:rsidR="00A96616" w:rsidRPr="00BA4546" w:rsidRDefault="00A96616" w:rsidP="00A9661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</w:pPr>
    </w:p>
    <w:p w:rsidR="00BA4546" w:rsidRPr="00BA4546" w:rsidRDefault="00BA4546" w:rsidP="00A9661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es-VE"/>
        </w:rPr>
      </w:pPr>
      <w:r w:rsidRPr="00BA454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Seguidamente se relacionan todas las disposiciones vigentes: boletines, normas e interpretaciones. También se puede acceder al sitio web del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 </w:t>
      </w:r>
      <w:r w:rsidRPr="00A96616">
        <w:rPr>
          <w:rFonts w:ascii="Comic Sans MS" w:eastAsia="Times New Roman" w:hAnsi="Comic Sans MS" w:cs="Arial"/>
          <w:b/>
          <w:bCs/>
          <w:color w:val="666666"/>
          <w:sz w:val="20"/>
          <w:szCs w:val="18"/>
          <w:bdr w:val="none" w:sz="0" w:space="0" w:color="auto" w:frame="1"/>
          <w:lang w:eastAsia="es-VE"/>
        </w:rPr>
        <w:t>IASB</w:t>
      </w:r>
      <w:r w:rsidRPr="00A9661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 </w:t>
      </w:r>
      <w:r w:rsidRPr="00BA4546">
        <w:rPr>
          <w:rFonts w:ascii="Comic Sans MS" w:eastAsia="Times New Roman" w:hAnsi="Comic Sans MS" w:cs="Arial"/>
          <w:color w:val="666666"/>
          <w:sz w:val="20"/>
          <w:szCs w:val="18"/>
          <w:lang w:eastAsia="es-VE"/>
        </w:rPr>
        <w:t>y descargar desde allí las normas e interpretaciones</w:t>
      </w:r>
      <w:r w:rsidRPr="00BA4546">
        <w:rPr>
          <w:rFonts w:ascii="Arial" w:eastAsia="Times New Roman" w:hAnsi="Arial" w:cs="Arial"/>
          <w:color w:val="666666"/>
          <w:sz w:val="18"/>
          <w:szCs w:val="18"/>
          <w:lang w:eastAsia="es-VE"/>
        </w:rPr>
        <w:t>.</w:t>
      </w:r>
    </w:p>
    <w:p w:rsidR="00BA4546" w:rsidRDefault="00BA4546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</w:p>
    <w:p w:rsidR="00BA4546" w:rsidRPr="00BA4546" w:rsidRDefault="009B4EA7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  <w:hyperlink r:id="rId19" w:history="1">
        <w:r w:rsidR="00BA4546" w:rsidRPr="00BA4546">
          <w:rPr>
            <w:rFonts w:ascii="Arial" w:eastAsia="Times New Roman" w:hAnsi="Arial" w:cs="Arial"/>
            <w:caps/>
            <w:color w:val="CF1F18"/>
            <w:kern w:val="36"/>
            <w:sz w:val="30"/>
            <w:szCs w:val="30"/>
            <w:u w:val="single"/>
            <w:bdr w:val="none" w:sz="0" w:space="0" w:color="auto" w:frame="1"/>
            <w:lang w:eastAsia="es-VE"/>
          </w:rPr>
          <w:t>BOLETINES DE APLICACIÓN VEN-NIF (BA VEN-NIF)</w:t>
        </w:r>
      </w:hyperlink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0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ACUERDO PARA LA ADOPCIÓN DE LAS NORMAS INTERNACIONALES DE INFORMACIÓN FINANCIERA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1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CRITERIOS PARA EL RECONOCIMIENTO DE LA INFLACIÓN EN LOS ESTADOS FINANCIEROS PREPARADOS DE ACUERDO CON VEN-NIF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2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4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DETERMINACIÓN DE LA FECHA DE AUTORIZACIÓN DE LOS ESTADOS FINANCIEROS PARA SU PUBLICACIÓN, EN EL MARCO DE LAS REGULACIONES CONTENIDAS EN EL CÓDIGO DE COMERCIO VENEZOLANO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3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5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CRITERIO PARA LA PRESENTACIÓN DEL RESULTADO INTEGRAL TOTAL, DE ACUERDO CON VEN-NIF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4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6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CRITERIOS PARA LA APLICACIÓN EN VENEZUELA DE LOS VEN-NIF PYME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5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UTILIZACIÓN DE LA REVALUACIÓN COMO COSTO ATRIBUIDO EN EL ESTADO DE SITUACIÓN FINANCIERA DE APERTURA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6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8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PRINCIPIOS DE CONTABILIDAD GENERALMENTE ACEPTADOS EN VENEZUELA (VEN-NIF)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7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BA VEN-NIF 9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 : TRATAMIENTO CONTABLE DEL RÉGIMEN DE PRESTACIONES SOCIALES Y LA INDEMNIZACIÓN POR TERMINACIÓN DE LA RELACIÓN DE TRABAJO</w:t>
      </w:r>
    </w:p>
    <w:p w:rsidR="00BA4546" w:rsidRDefault="00BA4546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</w:p>
    <w:p w:rsidR="00BA4546" w:rsidRPr="00BA4546" w:rsidRDefault="009B4EA7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  <w:hyperlink r:id="rId28" w:history="1">
        <w:r w:rsidR="00BA4546" w:rsidRPr="00BA4546">
          <w:rPr>
            <w:rFonts w:ascii="Arial" w:eastAsia="Times New Roman" w:hAnsi="Arial" w:cs="Arial"/>
            <w:caps/>
            <w:color w:val="CF1F18"/>
            <w:kern w:val="36"/>
            <w:sz w:val="30"/>
            <w:szCs w:val="30"/>
            <w:u w:val="single"/>
            <w:bdr w:val="none" w:sz="0" w:space="0" w:color="auto" w:frame="1"/>
            <w:lang w:eastAsia="es-VE"/>
          </w:rPr>
          <w:t>NORMAS INTERNACIONALES DE CONTABILIDAD (NIC)</w:t>
        </w:r>
      </w:hyperlink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29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MC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MARCO CONCEPTUAL PARA LA INFORMACIÓN FINANCIERA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0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NIC-01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 PRESENTACIÓN DE ESTADOS FINANCIEROS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1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NIC-02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 INVENTARIOS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2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NIC-07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 ESTADO DE FLUJOS DE EFECTIVO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3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NIC-08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POLÍTICAS CONTABLES, CAMBIOS EN LAS ESTIMACIONES CONTABLES Y ERRORES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4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NIC-10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HECHOS OCURRIDOS DESPUÉS DEL PERIODO SOBRE EL QUE SE INFORMA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5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NIC-11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CONTRATOS DE CONSTRUCCIÓN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6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NIC-12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IMPUESTO A LAS GANANCIAS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7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NIC-16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PROPIEDADES, PLANTA Y EQUIPOS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8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NIC-17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ARRENDAMIENTOS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39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NIC-18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INGRESOS DE ACTIVIDADES ORDINARIAS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0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NIC-19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BENEFICIOS A LOS EMPLEADOS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1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CONTABILIZACIÓN DE LAS SUBVENCIONES DEL GOBIERNO E INFORMACIÓN A REVELAR SOBRE AYUDAS GUBERNAMENTALES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2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EFECTO DE LAS VARIACIONES EN LAS TASAS DE CAMBIO DE LA MONEDA EXTRANJERA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3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NIC-23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COSTOS POR PRÉSTAMOS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4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NIC-24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INFORMACIÓN A REVELAR SOBRE PARTES RELACIONADAS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5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NIC-26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CONTABILIZACIÓN E INFORMACIÓN FINANCIERA SOBRE PLANES DE BENEFICIO POR RETIRO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6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ESTADOS FINANCIEROS SEPARADOS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7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NIC-28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INVERSIONES EN ASOCIADAS Y NEGOCIOS CONJUNTOS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8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NIC-29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INFORMACIÓN FINANCIERA EN ECONOMÍAS HIPERINFLACIONARIAS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49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NIC-32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: INSTRUMENTOS </w:t>
      </w:r>
      <w:proofErr w:type="gramStart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FINANCIEROS :</w:t>
      </w:r>
      <w:proofErr w:type="gramEnd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 PRESENTACIÓN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0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NIC-33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GANANCIAS POR ACCIÓN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1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NIC-34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INFORMACIÓN FINANCIERA INTERMEDIA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2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NIC-36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DETERIORO DEL VALOR DE LOS ACTIVOS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3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NIC-37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PROVISIONES, PASIVOS CONTINGENTES Y ACTIVOS CONTINGENTES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4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NIC-38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ACTIVOS INTANGIBLES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5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NIC-39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: INSTRUMENTOS </w:t>
      </w:r>
      <w:proofErr w:type="gramStart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FINANCIEROS :</w:t>
      </w:r>
      <w:proofErr w:type="gramEnd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 RECONOCIMIENTO Y MEDICIÓN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6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NIC-40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PROPIEDADES DE INVERSIÓN</w:t>
      </w:r>
    </w:p>
    <w:p w:rsid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7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NIC-41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AGRICULTURA</w:t>
      </w:r>
    </w:p>
    <w:p w:rsidR="00BA4546" w:rsidRPr="00BA4546" w:rsidRDefault="00BA4546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</w:p>
    <w:p w:rsidR="00BA4546" w:rsidRPr="00BA4546" w:rsidRDefault="009B4EA7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  <w:hyperlink r:id="rId58" w:history="1">
        <w:r w:rsidR="00BA4546" w:rsidRPr="00BA4546">
          <w:rPr>
            <w:rFonts w:ascii="Arial" w:eastAsia="Times New Roman" w:hAnsi="Arial" w:cs="Arial"/>
            <w:caps/>
            <w:color w:val="CF1F18"/>
            <w:kern w:val="36"/>
            <w:sz w:val="30"/>
            <w:szCs w:val="30"/>
            <w:u w:val="single"/>
            <w:bdr w:val="none" w:sz="0" w:space="0" w:color="auto" w:frame="1"/>
            <w:lang w:eastAsia="es-VE"/>
          </w:rPr>
          <w:t>NORMAS INTERNACIONALES DE INFORMACIÓN FINANCIERA (NIIF)</w:t>
        </w:r>
      </w:hyperlink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59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ADOPCIÓN POR PRIMERA VEZ DE LAS NORMAS INTERNACIONALES DE INFORMACIÓN FINANCIERA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0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PAGOS BASADOS EN ACCIONES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1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NIIF-03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COMBINACIONES DE NEGOCIOS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2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NIIF-04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CONTRATOS DE SEGUROS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3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NIIF-05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ACTIVOS NO CORRIENTES MANTENIDOS PARA LA VENTA Y OPERACIONES DISCONTINUADAS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4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NIIF-06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EXPLORACIÓN Y EVALUACIÓN DE RECURSOS MINERALES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5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: INSTRUMENTOS </w:t>
      </w:r>
      <w:proofErr w:type="gramStart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FINANCIEROS :</w:t>
      </w:r>
      <w:proofErr w:type="gramEnd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 INFORMACIÓN A REVELAR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6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NIIF-08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SEGMENTOS DE OPERACIÓN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7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NIIF-09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INSTRUMENTOS FINANCIEROS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8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NIIF-10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ESTADOS FINANCIEROS CONSOLIDADOS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69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NIIF-11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ACUERDOS CONJUNTOS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0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NIIF-12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INFORMACIÓN A REVELAR SOBRE PARTICIPACIONES EN OTRAS ENTIDADES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1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NIIF-13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MEDICIÓN DEL VALOR RAZONABLE</w:t>
      </w:r>
    </w:p>
    <w:p w:rsidR="00BA4546" w:rsidRDefault="00BA4546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</w:p>
    <w:p w:rsidR="00BA4546" w:rsidRPr="00BA4546" w:rsidRDefault="009B4EA7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  <w:hyperlink r:id="rId72" w:history="1">
        <w:r w:rsidR="00BA4546" w:rsidRPr="00BA4546">
          <w:rPr>
            <w:rFonts w:ascii="Arial" w:eastAsia="Times New Roman" w:hAnsi="Arial" w:cs="Arial"/>
            <w:caps/>
            <w:color w:val="CF1F18"/>
            <w:kern w:val="36"/>
            <w:sz w:val="30"/>
            <w:szCs w:val="30"/>
            <w:u w:val="single"/>
            <w:bdr w:val="none" w:sz="0" w:space="0" w:color="auto" w:frame="1"/>
            <w:lang w:eastAsia="es-VE"/>
          </w:rPr>
          <w:t>COMITÉ DE INTERPRETACIONES DE LAS NORMAS INTERNACIONALES DE CONTABILIDAD (SIC)</w:t>
        </w:r>
      </w:hyperlink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3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SIC-10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AYUDAS GUBERNAMENTALES - SIN RELACIÓN ESPECÍFICA CON ACTIVIDADES DE OPERACIÓN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4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SIC-15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ARRENDAMIENTOS OPERATIVOS - INCENTIVOS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5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SIC-25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IMPUESTO A LAS GANANCIAS – CAMBIOS EN LA SITUACIÓN FISCAL DE LA ENTIDAD O DE SUS ACCIONISTAS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6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SIC-27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EVALUACIÓN DE LA ESENCIA DE LAS TRANSACCIONES QUE ADOPTAN LA FORMA LEGAL DE UN ARRENDAMIENTO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7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SIC-29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: ACUERDOS DE CONCESIÓN DE </w:t>
      </w:r>
      <w:proofErr w:type="gramStart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SERVICIOS :</w:t>
      </w:r>
      <w:proofErr w:type="gramEnd"/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 xml:space="preserve"> INFORMACIÓN A REVELAR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8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SIC-31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INGRESOS – PERMUTAS DE SERVICIOS DE PUBLICIDAD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79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SIC-32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ACTIVOS INTANGIBLES – COSTOS DE SITIOS WEB</w:t>
      </w:r>
    </w:p>
    <w:p w:rsidR="00BA4546" w:rsidRDefault="00BA4546" w:rsidP="00BA4546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</w:p>
    <w:p w:rsidR="00BA4546" w:rsidRPr="00BA4546" w:rsidRDefault="009B4EA7" w:rsidP="00BA454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aps/>
          <w:color w:val="373737"/>
          <w:kern w:val="36"/>
          <w:sz w:val="30"/>
          <w:szCs w:val="30"/>
          <w:lang w:eastAsia="es-VE"/>
        </w:rPr>
      </w:pPr>
      <w:hyperlink r:id="rId80" w:history="1">
        <w:r w:rsidR="00BA4546" w:rsidRPr="00BA4546">
          <w:rPr>
            <w:rFonts w:ascii="Arial" w:eastAsia="Times New Roman" w:hAnsi="Arial" w:cs="Arial"/>
            <w:caps/>
            <w:color w:val="CF1F18"/>
            <w:kern w:val="36"/>
            <w:sz w:val="30"/>
            <w:szCs w:val="30"/>
            <w:u w:val="single"/>
            <w:bdr w:val="none" w:sz="0" w:space="0" w:color="auto" w:frame="1"/>
            <w:lang w:eastAsia="es-VE"/>
          </w:rPr>
          <w:t>COMITÉ DE INTERPRETACIONES DE LAS NORMAS INTERNACIONALES DE INFORMACIÓN FINANCIERA (CINIIF)</w:t>
        </w:r>
      </w:hyperlink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1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CINIIF-01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CAMBIOS EN PASIVOS EXISTENTES POR RETIRO DEL SERVICIO, RESTAURACIÓN Y SIMILARES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2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CINIIF-02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APORTACIONES DE SOCIOS EN ENTIDADES COOPERATIVAS E INSTRUMENTOS SIMILARES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3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CINIIF-04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DETERMINACIÓN DE SI UN ACUERDO CONTIENE UN ARRENDAMIENTO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4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CINIIF-05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DERECHOS POR LA PARTICIPACIÓN EN FONDOS PARA EL RETIRO DEL SERVICIO, LA RESTAURACIÓN Y LA REHABILITACIÓN MEDIOAMBIENTAL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5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CINIIF-06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OBLIGACIONES SURGIDAS DE LA PARTICIPACIÓN EN MERCADOS ESPECÍFICOS - RESIDUOS DE APARATOS ELÉCTRICOS Y ELECTRÓNICOS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6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CINIIF-07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APLICACIÓN DEL PROCEDIMIENTO DE REEXPRESIÓN SEGÚN LA NIC-29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7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INFORMACIÓN FINANCIERA INTERMEDIA Y DETERIORO DEL VALOR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8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CINIIF-12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ACUERDOS DE CONCESIÓN DE SERVICIOS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89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CINIIF-13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PROGRAMAS DE FIDELIZACIÓN DE CLIENTES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0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CINIIF-14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NIC-19 - EL LÍMITE DE UN ACTIVO POR BENEFICIOS DEFINIDOS, OBLIGACIÓN DE MANTENER UN NIVEL MÍNIMO DE FINANCIACIÓN Y SU INTERACCIÓN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1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CINIIF-15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ACUERDOS PARA LA CONSTRUCCIÓN DE INMUEBLES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2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CINIIF-16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COBERTURAS DE UNA INVERSIÓN NETA EN UN NEGOCIO EN EL EXTRANJERO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3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CINIIF-17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DISTRIBUCIONES, A LOS PROPIETARIOS, DE ACTIVOS DISTINTOS DEL EFECTIVO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4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CINIIF-18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TRANSFERENCIAS DE ACTIVOS PROCEDENTES DE CLIENTES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5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CINIIF-19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CANCELACIÓN DE PASIVOS FINANCIEROS CON INSTRUMENTOS DE PATRIMONIO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6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CINIIF-20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COSTOS DE DESMONTE EN LA FASE DE PRODUCCIÓN DE UNA MINA A CIELO ABIERTO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7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CINIIF-21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GRAVÁMENES</w:t>
      </w:r>
    </w:p>
    <w:p w:rsidR="00BA4546" w:rsidRPr="00BA4546" w:rsidRDefault="00BA4546" w:rsidP="00BA4546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caps/>
          <w:color w:val="CF1F18"/>
          <w:kern w:val="36"/>
          <w:sz w:val="30"/>
          <w:szCs w:val="30"/>
          <w:u w:val="single"/>
          <w:bdr w:val="none" w:sz="0" w:space="0" w:color="auto" w:frame="1"/>
          <w:lang w:eastAsia="es-VE"/>
        </w:rPr>
      </w:pPr>
      <w:r w:rsidRPr="00BA4546">
        <w:rPr>
          <w:rFonts w:ascii="Arial" w:eastAsia="Times New Roman" w:hAnsi="Arial" w:cs="Arial"/>
          <w:caps/>
          <w:color w:val="CF1F18"/>
          <w:kern w:val="36"/>
          <w:sz w:val="30"/>
          <w:szCs w:val="30"/>
          <w:u w:val="single"/>
          <w:bdr w:val="none" w:sz="0" w:space="0" w:color="auto" w:frame="1"/>
          <w:lang w:eastAsia="es-VE"/>
        </w:rPr>
        <w:t>NORMA INTERNACIONAL DE INFORMACIÓN FINANCIERA PARA PEQUEÑAS Y MEDIANAS ENTIDADES (NIIF PARA LAS PYMES)</w:t>
      </w:r>
    </w:p>
    <w:p w:rsidR="00BA4546" w:rsidRPr="00BA4546" w:rsidRDefault="009B4EA7" w:rsidP="00BA4546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</w:pPr>
      <w:hyperlink r:id="rId98" w:tgtFrame="_blank" w:history="1">
        <w:r w:rsidR="00BA4546" w:rsidRPr="00BA4546">
          <w:rPr>
            <w:rFonts w:ascii="Arial" w:eastAsia="Times New Roman" w:hAnsi="Arial" w:cs="Arial"/>
            <w:caps/>
            <w:color w:val="CF1F18"/>
            <w:sz w:val="23"/>
            <w:szCs w:val="23"/>
            <w:u w:val="single"/>
            <w:bdr w:val="none" w:sz="0" w:space="0" w:color="auto" w:frame="1"/>
            <w:lang w:eastAsia="es-VE"/>
          </w:rPr>
          <w:t>NIIF PARA PYMES</w:t>
        </w:r>
      </w:hyperlink>
      <w:r w:rsidR="00BA4546" w:rsidRPr="00BA4546">
        <w:rPr>
          <w:rFonts w:ascii="Arial" w:eastAsia="Times New Roman" w:hAnsi="Arial" w:cs="Arial"/>
          <w:caps/>
          <w:color w:val="373737"/>
          <w:sz w:val="23"/>
          <w:szCs w:val="23"/>
          <w:lang w:eastAsia="es-VE"/>
        </w:rPr>
        <w:t>: NORMA INTERNACIONAL DE INFORMACIÓN FINANCIERA PARA PEQUEÑAS Y MEDIANAS ENTIDADES</w:t>
      </w:r>
    </w:p>
    <w:p w:rsidR="00BA4546" w:rsidRPr="000133D1" w:rsidRDefault="00DE7E47" w:rsidP="00DE7E47">
      <w:pPr>
        <w:pStyle w:val="Prrafodelista"/>
        <w:ind w:left="644"/>
        <w:jc w:val="center"/>
        <w:rPr>
          <w:sz w:val="40"/>
        </w:rPr>
      </w:pPr>
      <w:r w:rsidRPr="00DE7E47">
        <w:rPr>
          <w:sz w:val="32"/>
        </w:rPr>
        <w:t>FUENTE: http://ven-nif.com/normas.html</w:t>
      </w:r>
      <w:bookmarkEnd w:id="0"/>
    </w:p>
    <w:sectPr w:rsidR="00BA4546" w:rsidRPr="000133D1" w:rsidSect="00DE7E47">
      <w:headerReference w:type="default" r:id="rId99"/>
      <w:footerReference w:type="default" r:id="rId100"/>
      <w:pgSz w:w="12242" w:h="21546" w:code="5"/>
      <w:pgMar w:top="914" w:right="902" w:bottom="5812" w:left="851" w:header="426" w:footer="54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A7" w:rsidRDefault="009B4EA7" w:rsidP="00CC2C24">
      <w:pPr>
        <w:spacing w:after="0" w:line="240" w:lineRule="auto"/>
      </w:pPr>
      <w:r>
        <w:separator/>
      </w:r>
    </w:p>
  </w:endnote>
  <w:endnote w:type="continuationSeparator" w:id="0">
    <w:p w:rsidR="009B4EA7" w:rsidRDefault="009B4EA7" w:rsidP="00CC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118572"/>
      <w:docPartObj>
        <w:docPartGallery w:val="Page Numbers (Bottom of Page)"/>
        <w:docPartUnique/>
      </w:docPartObj>
    </w:sdtPr>
    <w:sdtEndPr/>
    <w:sdtContent>
      <w:sdt>
        <w:sdtPr>
          <w:id w:val="552050193"/>
          <w:docPartObj>
            <w:docPartGallery w:val="Page Numbers (Top of Page)"/>
            <w:docPartUnique/>
          </w:docPartObj>
        </w:sdtPr>
        <w:sdtEndPr/>
        <w:sdtContent>
          <w:p w:rsidR="00443890" w:rsidRDefault="00443890" w:rsidP="00CC2C2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4D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4D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3890" w:rsidRDefault="004438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A7" w:rsidRDefault="009B4EA7" w:rsidP="00CC2C24">
      <w:pPr>
        <w:spacing w:after="0" w:line="240" w:lineRule="auto"/>
      </w:pPr>
      <w:r>
        <w:separator/>
      </w:r>
    </w:p>
  </w:footnote>
  <w:footnote w:type="continuationSeparator" w:id="0">
    <w:p w:rsidR="009B4EA7" w:rsidRDefault="009B4EA7" w:rsidP="00CC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90" w:rsidRDefault="00443890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 wp14:anchorId="71B971C1" wp14:editId="724DE562">
          <wp:simplePos x="0" y="0"/>
          <wp:positionH relativeFrom="column">
            <wp:posOffset>5861685</wp:posOffset>
          </wp:positionH>
          <wp:positionV relativeFrom="paragraph">
            <wp:posOffset>-180975</wp:posOffset>
          </wp:positionV>
          <wp:extent cx="929061" cy="465825"/>
          <wp:effectExtent l="0" t="0" r="4445" b="0"/>
          <wp:wrapNone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61" cy="4658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6B"/>
    <w:multiLevelType w:val="multilevel"/>
    <w:tmpl w:val="084CA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D0DC8"/>
    <w:multiLevelType w:val="hybridMultilevel"/>
    <w:tmpl w:val="C12E8FF2"/>
    <w:lvl w:ilvl="0" w:tplc="C2166A0C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9ACD92">
      <w:start w:val="1361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96134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BE40E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2669B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24273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32B7F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2F79C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2EEF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0004EC"/>
    <w:multiLevelType w:val="multilevel"/>
    <w:tmpl w:val="F91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36AF8"/>
    <w:multiLevelType w:val="hybridMultilevel"/>
    <w:tmpl w:val="1654195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188"/>
    <w:multiLevelType w:val="hybridMultilevel"/>
    <w:tmpl w:val="7E68DB6E"/>
    <w:lvl w:ilvl="0" w:tplc="7DF4A1F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C2503"/>
    <w:multiLevelType w:val="hybridMultilevel"/>
    <w:tmpl w:val="95DA3444"/>
    <w:lvl w:ilvl="0" w:tplc="C9763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186986"/>
    <w:multiLevelType w:val="hybridMultilevel"/>
    <w:tmpl w:val="0756B16C"/>
    <w:lvl w:ilvl="0" w:tplc="2616A202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C86B0">
      <w:start w:val="1298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463558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60C73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4BA9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9C4C9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DCDB7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7ABA7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14A150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50C26CB"/>
    <w:multiLevelType w:val="multilevel"/>
    <w:tmpl w:val="CD282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1288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  <w:sz w:val="28"/>
      </w:rPr>
    </w:lvl>
  </w:abstractNum>
  <w:abstractNum w:abstractNumId="8">
    <w:nsid w:val="15131C11"/>
    <w:multiLevelType w:val="multilevel"/>
    <w:tmpl w:val="ED2C3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03A19"/>
    <w:multiLevelType w:val="hybridMultilevel"/>
    <w:tmpl w:val="34AE5D7A"/>
    <w:lvl w:ilvl="0" w:tplc="200A000F">
      <w:start w:val="1"/>
      <w:numFmt w:val="decimal"/>
      <w:lvlText w:val="%1."/>
      <w:lvlJc w:val="left"/>
      <w:pPr>
        <w:ind w:left="795" w:hanging="360"/>
      </w:pPr>
    </w:lvl>
    <w:lvl w:ilvl="1" w:tplc="200A0019" w:tentative="1">
      <w:start w:val="1"/>
      <w:numFmt w:val="lowerLetter"/>
      <w:lvlText w:val="%2."/>
      <w:lvlJc w:val="left"/>
      <w:pPr>
        <w:ind w:left="1515" w:hanging="360"/>
      </w:pPr>
    </w:lvl>
    <w:lvl w:ilvl="2" w:tplc="200A001B" w:tentative="1">
      <w:start w:val="1"/>
      <w:numFmt w:val="lowerRoman"/>
      <w:lvlText w:val="%3."/>
      <w:lvlJc w:val="right"/>
      <w:pPr>
        <w:ind w:left="2235" w:hanging="180"/>
      </w:pPr>
    </w:lvl>
    <w:lvl w:ilvl="3" w:tplc="200A000F" w:tentative="1">
      <w:start w:val="1"/>
      <w:numFmt w:val="decimal"/>
      <w:lvlText w:val="%4."/>
      <w:lvlJc w:val="left"/>
      <w:pPr>
        <w:ind w:left="2955" w:hanging="360"/>
      </w:pPr>
    </w:lvl>
    <w:lvl w:ilvl="4" w:tplc="200A0019" w:tentative="1">
      <w:start w:val="1"/>
      <w:numFmt w:val="lowerLetter"/>
      <w:lvlText w:val="%5."/>
      <w:lvlJc w:val="left"/>
      <w:pPr>
        <w:ind w:left="3675" w:hanging="360"/>
      </w:pPr>
    </w:lvl>
    <w:lvl w:ilvl="5" w:tplc="200A001B" w:tentative="1">
      <w:start w:val="1"/>
      <w:numFmt w:val="lowerRoman"/>
      <w:lvlText w:val="%6."/>
      <w:lvlJc w:val="right"/>
      <w:pPr>
        <w:ind w:left="4395" w:hanging="180"/>
      </w:pPr>
    </w:lvl>
    <w:lvl w:ilvl="6" w:tplc="200A000F" w:tentative="1">
      <w:start w:val="1"/>
      <w:numFmt w:val="decimal"/>
      <w:lvlText w:val="%7."/>
      <w:lvlJc w:val="left"/>
      <w:pPr>
        <w:ind w:left="5115" w:hanging="360"/>
      </w:pPr>
    </w:lvl>
    <w:lvl w:ilvl="7" w:tplc="200A0019" w:tentative="1">
      <w:start w:val="1"/>
      <w:numFmt w:val="lowerLetter"/>
      <w:lvlText w:val="%8."/>
      <w:lvlJc w:val="left"/>
      <w:pPr>
        <w:ind w:left="5835" w:hanging="360"/>
      </w:pPr>
    </w:lvl>
    <w:lvl w:ilvl="8" w:tplc="20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01B64B7"/>
    <w:multiLevelType w:val="hybridMultilevel"/>
    <w:tmpl w:val="62362944"/>
    <w:lvl w:ilvl="0" w:tplc="7DB05A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B0144"/>
    <w:multiLevelType w:val="multilevel"/>
    <w:tmpl w:val="8CA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929EC"/>
    <w:multiLevelType w:val="hybridMultilevel"/>
    <w:tmpl w:val="E3C807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E1945"/>
    <w:multiLevelType w:val="multilevel"/>
    <w:tmpl w:val="2A8EF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829B5"/>
    <w:multiLevelType w:val="hybridMultilevel"/>
    <w:tmpl w:val="367227D4"/>
    <w:lvl w:ilvl="0" w:tplc="C9763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AB62020"/>
    <w:multiLevelType w:val="multilevel"/>
    <w:tmpl w:val="68AA9AA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eastAsia="Times New Roman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Arial" w:eastAsia="Times New Roman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" w:eastAsia="Times New Roman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Arial" w:eastAsia="Times New Roman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Arial" w:eastAsia="Times New Roman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ascii="Arial" w:eastAsia="Times New Roman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Arial" w:eastAsia="Times New Roman" w:hAnsi="Arial" w:cs="Arial" w:hint="default"/>
        <w:color w:val="000000"/>
        <w:sz w:val="22"/>
      </w:rPr>
    </w:lvl>
  </w:abstractNum>
  <w:abstractNum w:abstractNumId="16">
    <w:nsid w:val="3CC34084"/>
    <w:multiLevelType w:val="multilevel"/>
    <w:tmpl w:val="B11C0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3EB67A57"/>
    <w:multiLevelType w:val="multilevel"/>
    <w:tmpl w:val="68E46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9622C"/>
    <w:multiLevelType w:val="hybridMultilevel"/>
    <w:tmpl w:val="1892E72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123F"/>
    <w:multiLevelType w:val="hybridMultilevel"/>
    <w:tmpl w:val="1A4C2642"/>
    <w:lvl w:ilvl="0" w:tplc="5986D836">
      <w:start w:val="1"/>
      <w:numFmt w:val="decimal"/>
      <w:lvlText w:val="%1)"/>
      <w:lvlJc w:val="left"/>
      <w:pPr>
        <w:ind w:left="644" w:hanging="360"/>
      </w:pPr>
      <w:rPr>
        <w:rFonts w:hint="default"/>
        <w:i/>
        <w:sz w:val="28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F5788A"/>
    <w:multiLevelType w:val="hybridMultilevel"/>
    <w:tmpl w:val="3CEC91D8"/>
    <w:lvl w:ilvl="0" w:tplc="810417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55" w:hanging="360"/>
      </w:pPr>
    </w:lvl>
    <w:lvl w:ilvl="2" w:tplc="200A001B" w:tentative="1">
      <w:start w:val="1"/>
      <w:numFmt w:val="lowerRoman"/>
      <w:lvlText w:val="%3."/>
      <w:lvlJc w:val="right"/>
      <w:pPr>
        <w:ind w:left="2175" w:hanging="180"/>
      </w:pPr>
    </w:lvl>
    <w:lvl w:ilvl="3" w:tplc="200A000F" w:tentative="1">
      <w:start w:val="1"/>
      <w:numFmt w:val="decimal"/>
      <w:lvlText w:val="%4."/>
      <w:lvlJc w:val="left"/>
      <w:pPr>
        <w:ind w:left="2895" w:hanging="360"/>
      </w:pPr>
    </w:lvl>
    <w:lvl w:ilvl="4" w:tplc="200A0019" w:tentative="1">
      <w:start w:val="1"/>
      <w:numFmt w:val="lowerLetter"/>
      <w:lvlText w:val="%5."/>
      <w:lvlJc w:val="left"/>
      <w:pPr>
        <w:ind w:left="3615" w:hanging="360"/>
      </w:pPr>
    </w:lvl>
    <w:lvl w:ilvl="5" w:tplc="200A001B" w:tentative="1">
      <w:start w:val="1"/>
      <w:numFmt w:val="lowerRoman"/>
      <w:lvlText w:val="%6."/>
      <w:lvlJc w:val="right"/>
      <w:pPr>
        <w:ind w:left="4335" w:hanging="180"/>
      </w:pPr>
    </w:lvl>
    <w:lvl w:ilvl="6" w:tplc="200A000F" w:tentative="1">
      <w:start w:val="1"/>
      <w:numFmt w:val="decimal"/>
      <w:lvlText w:val="%7."/>
      <w:lvlJc w:val="left"/>
      <w:pPr>
        <w:ind w:left="5055" w:hanging="360"/>
      </w:pPr>
    </w:lvl>
    <w:lvl w:ilvl="7" w:tplc="200A0019" w:tentative="1">
      <w:start w:val="1"/>
      <w:numFmt w:val="lowerLetter"/>
      <w:lvlText w:val="%8."/>
      <w:lvlJc w:val="left"/>
      <w:pPr>
        <w:ind w:left="5775" w:hanging="360"/>
      </w:pPr>
    </w:lvl>
    <w:lvl w:ilvl="8" w:tplc="2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B0D7277"/>
    <w:multiLevelType w:val="hybridMultilevel"/>
    <w:tmpl w:val="8E0AAF84"/>
    <w:lvl w:ilvl="0" w:tplc="C9763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C064913"/>
    <w:multiLevelType w:val="multilevel"/>
    <w:tmpl w:val="5B8696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2" w:hanging="2880"/>
      </w:pPr>
      <w:rPr>
        <w:rFonts w:hint="default"/>
      </w:rPr>
    </w:lvl>
  </w:abstractNum>
  <w:abstractNum w:abstractNumId="23">
    <w:nsid w:val="4C9B2D85"/>
    <w:multiLevelType w:val="hybridMultilevel"/>
    <w:tmpl w:val="AC84DB60"/>
    <w:lvl w:ilvl="0" w:tplc="2F6C9EF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C3E60"/>
    <w:multiLevelType w:val="multilevel"/>
    <w:tmpl w:val="3FAE4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6815A2"/>
    <w:multiLevelType w:val="hybridMultilevel"/>
    <w:tmpl w:val="1E6EA22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C7F54"/>
    <w:multiLevelType w:val="multilevel"/>
    <w:tmpl w:val="FEB8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1144A"/>
    <w:multiLevelType w:val="hybridMultilevel"/>
    <w:tmpl w:val="8A963414"/>
    <w:lvl w:ilvl="0" w:tplc="A50C294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640FF"/>
    <w:multiLevelType w:val="multilevel"/>
    <w:tmpl w:val="6EB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A76F8"/>
    <w:multiLevelType w:val="hybridMultilevel"/>
    <w:tmpl w:val="8E4EE106"/>
    <w:lvl w:ilvl="0" w:tplc="2CD088B2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857BF"/>
    <w:multiLevelType w:val="multilevel"/>
    <w:tmpl w:val="F336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D71733"/>
    <w:multiLevelType w:val="multilevel"/>
    <w:tmpl w:val="5DA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33AFD"/>
    <w:multiLevelType w:val="hybridMultilevel"/>
    <w:tmpl w:val="69A432B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45EDA"/>
    <w:multiLevelType w:val="multilevel"/>
    <w:tmpl w:val="1D38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2D4022"/>
    <w:multiLevelType w:val="multilevel"/>
    <w:tmpl w:val="2320EF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5">
    <w:nsid w:val="660930C7"/>
    <w:multiLevelType w:val="multilevel"/>
    <w:tmpl w:val="FDC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116ED1"/>
    <w:multiLevelType w:val="hybridMultilevel"/>
    <w:tmpl w:val="4686118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345F0"/>
    <w:multiLevelType w:val="hybridMultilevel"/>
    <w:tmpl w:val="123271F2"/>
    <w:lvl w:ilvl="0" w:tplc="C9763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C2D5487"/>
    <w:multiLevelType w:val="hybridMultilevel"/>
    <w:tmpl w:val="42A66A3A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93DFB"/>
    <w:multiLevelType w:val="hybridMultilevel"/>
    <w:tmpl w:val="FAF6470C"/>
    <w:lvl w:ilvl="0" w:tplc="2D046E28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E862E8">
      <w:start w:val="708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B20118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4C1868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228B72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A0A8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9C43F0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66B1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EC8A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378190B"/>
    <w:multiLevelType w:val="hybridMultilevel"/>
    <w:tmpl w:val="DF7E7D50"/>
    <w:lvl w:ilvl="0" w:tplc="CEE0F01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A47F7"/>
    <w:multiLevelType w:val="multilevel"/>
    <w:tmpl w:val="467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AA4F0A"/>
    <w:multiLevelType w:val="multilevel"/>
    <w:tmpl w:val="FCEEE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097DC9"/>
    <w:multiLevelType w:val="hybridMultilevel"/>
    <w:tmpl w:val="7C147AAC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71E09"/>
    <w:multiLevelType w:val="hybridMultilevel"/>
    <w:tmpl w:val="8000DE4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241C9"/>
    <w:multiLevelType w:val="hybridMultilevel"/>
    <w:tmpl w:val="A6CA0ADC"/>
    <w:lvl w:ilvl="0" w:tplc="E0F80E7A">
      <w:start w:val="1"/>
      <w:numFmt w:val="decimal"/>
      <w:lvlText w:val="%1)"/>
      <w:lvlJc w:val="left"/>
      <w:pPr>
        <w:ind w:left="1353" w:hanging="360"/>
      </w:pPr>
      <w:rPr>
        <w:rFonts w:hint="default"/>
        <w:i/>
        <w:sz w:val="28"/>
      </w:r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E3B6C3C"/>
    <w:multiLevelType w:val="hybridMultilevel"/>
    <w:tmpl w:val="4A307B22"/>
    <w:lvl w:ilvl="0" w:tplc="C97634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FF07A75"/>
    <w:multiLevelType w:val="multilevel"/>
    <w:tmpl w:val="7270C3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1"/>
  </w:num>
  <w:num w:numId="3">
    <w:abstractNumId w:val="25"/>
  </w:num>
  <w:num w:numId="4">
    <w:abstractNumId w:val="39"/>
  </w:num>
  <w:num w:numId="5">
    <w:abstractNumId w:val="32"/>
  </w:num>
  <w:num w:numId="6">
    <w:abstractNumId w:val="1"/>
  </w:num>
  <w:num w:numId="7">
    <w:abstractNumId w:val="6"/>
  </w:num>
  <w:num w:numId="8">
    <w:abstractNumId w:val="17"/>
  </w:num>
  <w:num w:numId="9">
    <w:abstractNumId w:val="24"/>
  </w:num>
  <w:num w:numId="10">
    <w:abstractNumId w:val="33"/>
  </w:num>
  <w:num w:numId="11">
    <w:abstractNumId w:val="42"/>
  </w:num>
  <w:num w:numId="12">
    <w:abstractNumId w:val="13"/>
  </w:num>
  <w:num w:numId="13">
    <w:abstractNumId w:val="8"/>
  </w:num>
  <w:num w:numId="14">
    <w:abstractNumId w:val="0"/>
  </w:num>
  <w:num w:numId="15">
    <w:abstractNumId w:val="29"/>
  </w:num>
  <w:num w:numId="16">
    <w:abstractNumId w:val="12"/>
  </w:num>
  <w:num w:numId="17">
    <w:abstractNumId w:val="36"/>
  </w:num>
  <w:num w:numId="18">
    <w:abstractNumId w:val="9"/>
  </w:num>
  <w:num w:numId="19">
    <w:abstractNumId w:val="47"/>
  </w:num>
  <w:num w:numId="20">
    <w:abstractNumId w:val="26"/>
  </w:num>
  <w:num w:numId="21">
    <w:abstractNumId w:val="31"/>
  </w:num>
  <w:num w:numId="22">
    <w:abstractNumId w:val="2"/>
  </w:num>
  <w:num w:numId="23">
    <w:abstractNumId w:val="28"/>
  </w:num>
  <w:num w:numId="24">
    <w:abstractNumId w:val="35"/>
  </w:num>
  <w:num w:numId="25">
    <w:abstractNumId w:val="30"/>
  </w:num>
  <w:num w:numId="26">
    <w:abstractNumId w:val="16"/>
  </w:num>
  <w:num w:numId="27">
    <w:abstractNumId w:val="22"/>
  </w:num>
  <w:num w:numId="28">
    <w:abstractNumId w:val="34"/>
  </w:num>
  <w:num w:numId="29">
    <w:abstractNumId w:val="15"/>
  </w:num>
  <w:num w:numId="30">
    <w:abstractNumId w:val="3"/>
  </w:num>
  <w:num w:numId="31">
    <w:abstractNumId w:val="7"/>
  </w:num>
  <w:num w:numId="32">
    <w:abstractNumId w:val="20"/>
  </w:num>
  <w:num w:numId="33">
    <w:abstractNumId w:val="38"/>
  </w:num>
  <w:num w:numId="34">
    <w:abstractNumId w:val="46"/>
  </w:num>
  <w:num w:numId="35">
    <w:abstractNumId w:val="37"/>
  </w:num>
  <w:num w:numId="36">
    <w:abstractNumId w:val="23"/>
  </w:num>
  <w:num w:numId="37">
    <w:abstractNumId w:val="21"/>
  </w:num>
  <w:num w:numId="38">
    <w:abstractNumId w:val="43"/>
  </w:num>
  <w:num w:numId="39">
    <w:abstractNumId w:val="10"/>
  </w:num>
  <w:num w:numId="40">
    <w:abstractNumId w:val="4"/>
  </w:num>
  <w:num w:numId="41">
    <w:abstractNumId w:val="14"/>
  </w:num>
  <w:num w:numId="42">
    <w:abstractNumId w:val="40"/>
  </w:num>
  <w:num w:numId="43">
    <w:abstractNumId w:val="5"/>
  </w:num>
  <w:num w:numId="44">
    <w:abstractNumId w:val="45"/>
  </w:num>
  <w:num w:numId="45">
    <w:abstractNumId w:val="27"/>
  </w:num>
  <w:num w:numId="46">
    <w:abstractNumId w:val="19"/>
  </w:num>
  <w:num w:numId="47">
    <w:abstractNumId w:val="4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2C"/>
    <w:rsid w:val="000133D1"/>
    <w:rsid w:val="0001395C"/>
    <w:rsid w:val="00014B31"/>
    <w:rsid w:val="0004586A"/>
    <w:rsid w:val="000501A8"/>
    <w:rsid w:val="00067ED8"/>
    <w:rsid w:val="00074F7D"/>
    <w:rsid w:val="000A6ACD"/>
    <w:rsid w:val="000E45C1"/>
    <w:rsid w:val="001013D5"/>
    <w:rsid w:val="00131558"/>
    <w:rsid w:val="00135023"/>
    <w:rsid w:val="00135C2C"/>
    <w:rsid w:val="00142CF0"/>
    <w:rsid w:val="00147A7D"/>
    <w:rsid w:val="001709A6"/>
    <w:rsid w:val="00182E41"/>
    <w:rsid w:val="001E7079"/>
    <w:rsid w:val="002B1B88"/>
    <w:rsid w:val="003274AC"/>
    <w:rsid w:val="00330ECD"/>
    <w:rsid w:val="003609D8"/>
    <w:rsid w:val="00396940"/>
    <w:rsid w:val="00443890"/>
    <w:rsid w:val="00485372"/>
    <w:rsid w:val="004901CC"/>
    <w:rsid w:val="00521D68"/>
    <w:rsid w:val="00535CC3"/>
    <w:rsid w:val="00536506"/>
    <w:rsid w:val="00564400"/>
    <w:rsid w:val="00581379"/>
    <w:rsid w:val="005C72C1"/>
    <w:rsid w:val="00643326"/>
    <w:rsid w:val="006804BF"/>
    <w:rsid w:val="006B500D"/>
    <w:rsid w:val="006B56FC"/>
    <w:rsid w:val="00724FAB"/>
    <w:rsid w:val="0077774E"/>
    <w:rsid w:val="00795055"/>
    <w:rsid w:val="007956B5"/>
    <w:rsid w:val="00795B17"/>
    <w:rsid w:val="00797BD0"/>
    <w:rsid w:val="007B2397"/>
    <w:rsid w:val="007E45F2"/>
    <w:rsid w:val="00815BF8"/>
    <w:rsid w:val="00842DC6"/>
    <w:rsid w:val="008653D7"/>
    <w:rsid w:val="008A0B6D"/>
    <w:rsid w:val="008D5880"/>
    <w:rsid w:val="008D65DC"/>
    <w:rsid w:val="008E09AB"/>
    <w:rsid w:val="008F505B"/>
    <w:rsid w:val="00901E9A"/>
    <w:rsid w:val="009514AB"/>
    <w:rsid w:val="00953507"/>
    <w:rsid w:val="00954EFD"/>
    <w:rsid w:val="00971441"/>
    <w:rsid w:val="009972A5"/>
    <w:rsid w:val="009B3218"/>
    <w:rsid w:val="009B4EA7"/>
    <w:rsid w:val="00A24437"/>
    <w:rsid w:val="00A372BB"/>
    <w:rsid w:val="00A504D7"/>
    <w:rsid w:val="00A82C0F"/>
    <w:rsid w:val="00A90B33"/>
    <w:rsid w:val="00A96616"/>
    <w:rsid w:val="00A97D28"/>
    <w:rsid w:val="00AB262E"/>
    <w:rsid w:val="00AD2AFB"/>
    <w:rsid w:val="00AF23C6"/>
    <w:rsid w:val="00B04C5B"/>
    <w:rsid w:val="00B04DB1"/>
    <w:rsid w:val="00B45994"/>
    <w:rsid w:val="00B47169"/>
    <w:rsid w:val="00B47C6A"/>
    <w:rsid w:val="00B55966"/>
    <w:rsid w:val="00BA0D86"/>
    <w:rsid w:val="00BA4546"/>
    <w:rsid w:val="00BB78E5"/>
    <w:rsid w:val="00BC266C"/>
    <w:rsid w:val="00BD2722"/>
    <w:rsid w:val="00BD7703"/>
    <w:rsid w:val="00BF389C"/>
    <w:rsid w:val="00BF5C79"/>
    <w:rsid w:val="00C03F65"/>
    <w:rsid w:val="00C041DA"/>
    <w:rsid w:val="00C30E3A"/>
    <w:rsid w:val="00C64AE7"/>
    <w:rsid w:val="00C70C78"/>
    <w:rsid w:val="00CB0739"/>
    <w:rsid w:val="00CB7A13"/>
    <w:rsid w:val="00CC2C24"/>
    <w:rsid w:val="00CE34B8"/>
    <w:rsid w:val="00CF4461"/>
    <w:rsid w:val="00D177BF"/>
    <w:rsid w:val="00D17E67"/>
    <w:rsid w:val="00D35E5A"/>
    <w:rsid w:val="00D4085B"/>
    <w:rsid w:val="00D40962"/>
    <w:rsid w:val="00D53E0D"/>
    <w:rsid w:val="00D66FEE"/>
    <w:rsid w:val="00D90CAB"/>
    <w:rsid w:val="00DA082E"/>
    <w:rsid w:val="00DE7E47"/>
    <w:rsid w:val="00E248E3"/>
    <w:rsid w:val="00E41A4C"/>
    <w:rsid w:val="00E916F4"/>
    <w:rsid w:val="00EA22BD"/>
    <w:rsid w:val="00EC22DD"/>
    <w:rsid w:val="00ED02AC"/>
    <w:rsid w:val="00F002E4"/>
    <w:rsid w:val="00F17F9E"/>
    <w:rsid w:val="00F24A5A"/>
    <w:rsid w:val="00F275FC"/>
    <w:rsid w:val="00F94A0C"/>
    <w:rsid w:val="00F97601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5C"/>
  </w:style>
  <w:style w:type="paragraph" w:styleId="Ttulo1">
    <w:name w:val="heading 1"/>
    <w:basedOn w:val="Normal"/>
    <w:next w:val="Normal"/>
    <w:link w:val="Ttulo1Car"/>
    <w:uiPriority w:val="9"/>
    <w:qFormat/>
    <w:rsid w:val="00396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135C2C"/>
  </w:style>
  <w:style w:type="paragraph" w:styleId="Prrafodelista">
    <w:name w:val="List Paragraph"/>
    <w:basedOn w:val="Normal"/>
    <w:uiPriority w:val="34"/>
    <w:qFormat/>
    <w:rsid w:val="00901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C24"/>
  </w:style>
  <w:style w:type="paragraph" w:styleId="Piedepgina">
    <w:name w:val="footer"/>
    <w:basedOn w:val="Normal"/>
    <w:link w:val="Piedepgina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C24"/>
  </w:style>
  <w:style w:type="character" w:styleId="Hipervnculo">
    <w:name w:val="Hyperlink"/>
    <w:basedOn w:val="Fuentedeprrafopredeter"/>
    <w:uiPriority w:val="99"/>
    <w:unhideWhenUsed/>
    <w:rsid w:val="000139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69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41A4C"/>
    <w:rPr>
      <w:b/>
      <w:bCs/>
    </w:rPr>
  </w:style>
  <w:style w:type="character" w:customStyle="1" w:styleId="apple-converted-space">
    <w:name w:val="apple-converted-space"/>
    <w:basedOn w:val="Fuentedeprrafopredeter"/>
    <w:rsid w:val="00E41A4C"/>
  </w:style>
  <w:style w:type="character" w:customStyle="1" w:styleId="Ttulo3Car">
    <w:name w:val="Título 3 Car"/>
    <w:basedOn w:val="Fuentedeprrafopredeter"/>
    <w:link w:val="Ttulo3"/>
    <w:uiPriority w:val="9"/>
    <w:semiHidden/>
    <w:rsid w:val="00BA45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5C"/>
  </w:style>
  <w:style w:type="paragraph" w:styleId="Ttulo1">
    <w:name w:val="heading 1"/>
    <w:basedOn w:val="Normal"/>
    <w:next w:val="Normal"/>
    <w:link w:val="Ttulo1Car"/>
    <w:uiPriority w:val="9"/>
    <w:qFormat/>
    <w:rsid w:val="00396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135C2C"/>
  </w:style>
  <w:style w:type="paragraph" w:styleId="Prrafodelista">
    <w:name w:val="List Paragraph"/>
    <w:basedOn w:val="Normal"/>
    <w:uiPriority w:val="34"/>
    <w:qFormat/>
    <w:rsid w:val="00901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C24"/>
  </w:style>
  <w:style w:type="paragraph" w:styleId="Piedepgina">
    <w:name w:val="footer"/>
    <w:basedOn w:val="Normal"/>
    <w:link w:val="PiedepginaCar"/>
    <w:uiPriority w:val="99"/>
    <w:unhideWhenUsed/>
    <w:rsid w:val="00CC2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C24"/>
  </w:style>
  <w:style w:type="character" w:styleId="Hipervnculo">
    <w:name w:val="Hyperlink"/>
    <w:basedOn w:val="Fuentedeprrafopredeter"/>
    <w:uiPriority w:val="99"/>
    <w:unhideWhenUsed/>
    <w:rsid w:val="000139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69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41A4C"/>
    <w:rPr>
      <w:b/>
      <w:bCs/>
    </w:rPr>
  </w:style>
  <w:style w:type="character" w:customStyle="1" w:styleId="apple-converted-space">
    <w:name w:val="apple-converted-space"/>
    <w:basedOn w:val="Fuentedeprrafopredeter"/>
    <w:rsid w:val="00E41A4C"/>
  </w:style>
  <w:style w:type="character" w:customStyle="1" w:styleId="Ttulo3Car">
    <w:name w:val="Título 3 Car"/>
    <w:basedOn w:val="Fuentedeprrafopredeter"/>
    <w:link w:val="Ttulo3"/>
    <w:uiPriority w:val="9"/>
    <w:semiHidden/>
    <w:rsid w:val="00BA45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18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32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954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93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66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1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01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76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02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4" w:color="E3E1E1"/>
                        <w:left w:val="none" w:sz="0" w:space="10" w:color="auto"/>
                        <w:bottom w:val="single" w:sz="6" w:space="5" w:color="E3E1E1"/>
                        <w:right w:val="none" w:sz="0" w:space="10" w:color="auto"/>
                      </w:divBdr>
                    </w:div>
                    <w:div w:id="13624396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32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26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153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65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7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32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42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13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48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0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055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57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3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en-nif.com/normas/ba-ven-nif/ba-ven-nif-8.html" TargetMode="External"/><Relationship Id="rId21" Type="http://schemas.openxmlformats.org/officeDocument/2006/relationships/hyperlink" Target="http://www.ven-nif.com/normas/ba-ven-nif/ba-ven-nif-2.html" TargetMode="External"/><Relationship Id="rId34" Type="http://schemas.openxmlformats.org/officeDocument/2006/relationships/hyperlink" Target="http://www.mef.gob.pe/contenidos/conta_publ/con_nor_co/vigentes/nic/NIC_010_2014.pdf" TargetMode="External"/><Relationship Id="rId42" Type="http://schemas.openxmlformats.org/officeDocument/2006/relationships/hyperlink" Target="http://www.mef.gob.pe/contenidos/conta_publ/con_nor_co/vigentes/nic/NIC_021_2014.pdf" TargetMode="External"/><Relationship Id="rId47" Type="http://schemas.openxmlformats.org/officeDocument/2006/relationships/hyperlink" Target="http://www.mef.gob.pe/contenidos/conta_publ/con_nor_co/vigentes/nic/NIC_028_2014.pdf" TargetMode="External"/><Relationship Id="rId50" Type="http://schemas.openxmlformats.org/officeDocument/2006/relationships/hyperlink" Target="http://www.mef.gob.pe/contenidos/conta_publ/con_nor_co/vigentes/nic/NIC_033_2014.pdf" TargetMode="External"/><Relationship Id="rId55" Type="http://schemas.openxmlformats.org/officeDocument/2006/relationships/hyperlink" Target="http://www.mef.gob.pe/contenidos/conta_publ/con_nor_co/vigentes/nic/NIC_039_2014.pdf" TargetMode="External"/><Relationship Id="rId63" Type="http://schemas.openxmlformats.org/officeDocument/2006/relationships/hyperlink" Target="http://www.mef.gob.pe/contenidos/conta_publ/con_nor_co/vigentes/niif/NIIF_005_2014.pdf" TargetMode="External"/><Relationship Id="rId68" Type="http://schemas.openxmlformats.org/officeDocument/2006/relationships/hyperlink" Target="http://www.mef.gob.pe/contenidos/conta_publ/con_nor_co/vigentes/niif/NIIF_010_2014.pdf" TargetMode="External"/><Relationship Id="rId76" Type="http://schemas.openxmlformats.org/officeDocument/2006/relationships/hyperlink" Target="http://www.mef.gob.pe/contenidos/conta_publ/con_nor_co/vigentes/sic/SIC_027_2014.pdf" TargetMode="External"/><Relationship Id="rId84" Type="http://schemas.openxmlformats.org/officeDocument/2006/relationships/hyperlink" Target="http://www.mef.gob.pe/contenidos/conta_publ/con_nor_co/vigentes/ciniif/CINIIF_005_2014.pdf" TargetMode="External"/><Relationship Id="rId89" Type="http://schemas.openxmlformats.org/officeDocument/2006/relationships/hyperlink" Target="http://www.mef.gob.pe/contenidos/conta_publ/con_nor_co/vigentes/ciniif/CINIIF_013_2014.pdf" TargetMode="External"/><Relationship Id="rId97" Type="http://schemas.openxmlformats.org/officeDocument/2006/relationships/hyperlink" Target="http://www.mef.gob.pe/contenidos/conta_publ/con_nor_co/vigentes/ciniif/CINIIF_021_2014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mef.gob.pe/contenidos/conta_publ/con_nor_co/vigentes/niif/NIIF_013_2014.pdf" TargetMode="External"/><Relationship Id="rId92" Type="http://schemas.openxmlformats.org/officeDocument/2006/relationships/hyperlink" Target="http://www.mef.gob.pe/contenidos/conta_publ/con_nor_co/vigentes/ciniif/CINIIF_016_201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omit%C3%A9_de_Normas_Internacionales_de_Contabilidad" TargetMode="External"/><Relationship Id="rId29" Type="http://schemas.openxmlformats.org/officeDocument/2006/relationships/hyperlink" Target="http://www.mef.gob.pe/contenidos/conta_publ/con_nor_co/vigentes/niif/marco_conceptual_financiera2014.pdf" TargetMode="External"/><Relationship Id="rId11" Type="http://schemas.openxmlformats.org/officeDocument/2006/relationships/hyperlink" Target="https://es.wikipedia.org/wiki/Londres" TargetMode="External"/><Relationship Id="rId24" Type="http://schemas.openxmlformats.org/officeDocument/2006/relationships/hyperlink" Target="http://www.ven-nif.com/normas/ba-ven-nif/ba-ven-nif-6.html" TargetMode="External"/><Relationship Id="rId32" Type="http://schemas.openxmlformats.org/officeDocument/2006/relationships/hyperlink" Target="http://www.mef.gob.pe/contenidos/conta_publ/con_nor_co/vigentes/nic/NIC_007_2014.pdf" TargetMode="External"/><Relationship Id="rId37" Type="http://schemas.openxmlformats.org/officeDocument/2006/relationships/hyperlink" Target="http://www.mef.gob.pe/contenidos/conta_publ/con_nor_co/vigentes/nic/NIC_016_2014.pdf" TargetMode="External"/><Relationship Id="rId40" Type="http://schemas.openxmlformats.org/officeDocument/2006/relationships/hyperlink" Target="http://www.mef.gob.pe/contenidos/conta_publ/con_nor_co/vigentes/nic/NIC_019_2014.pdf" TargetMode="External"/><Relationship Id="rId45" Type="http://schemas.openxmlformats.org/officeDocument/2006/relationships/hyperlink" Target="http://www.mef.gob.pe/contenidos/conta_publ/con_nor_co/vigentes/nic/NIC_026_2014.pdf" TargetMode="External"/><Relationship Id="rId53" Type="http://schemas.openxmlformats.org/officeDocument/2006/relationships/hyperlink" Target="http://www.mef.gob.pe/contenidos/conta_publ/con_nor_co/vigentes/nic/NIC_037_2014.pdf" TargetMode="External"/><Relationship Id="rId58" Type="http://schemas.openxmlformats.org/officeDocument/2006/relationships/hyperlink" Target="http://www.ven-nif.com/normas/niif.html" TargetMode="External"/><Relationship Id="rId66" Type="http://schemas.openxmlformats.org/officeDocument/2006/relationships/hyperlink" Target="http://www.mef.gob.pe/contenidos/conta_publ/con_nor_co/vigentes/niif/NIIF_008_2014.pdf" TargetMode="External"/><Relationship Id="rId74" Type="http://schemas.openxmlformats.org/officeDocument/2006/relationships/hyperlink" Target="http://www.mef.gob.pe/contenidos/conta_publ/con_nor_co/vigentes/sic/SIC_015_2014.pdf" TargetMode="External"/><Relationship Id="rId79" Type="http://schemas.openxmlformats.org/officeDocument/2006/relationships/hyperlink" Target="http://www.mef.gob.pe/contenidos/conta_publ/con_nor_co/vigentes/sic/SIC_032_2014.pdf" TargetMode="External"/><Relationship Id="rId87" Type="http://schemas.openxmlformats.org/officeDocument/2006/relationships/hyperlink" Target="http://www.mef.gob.pe/contenidos/conta_publ/con_nor_co/vigentes/ciniif/CINIIF_010_2014.pdf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mef.gob.pe/contenidos/conta_publ/con_nor_co/vigentes/niif/NIIF_003_2014.pdf" TargetMode="External"/><Relationship Id="rId82" Type="http://schemas.openxmlformats.org/officeDocument/2006/relationships/hyperlink" Target="http://www.mef.gob.pe/contenidos/conta_publ/con_nor_co/vigentes/ciniif/CINIIF_002_2014.pdf" TargetMode="External"/><Relationship Id="rId90" Type="http://schemas.openxmlformats.org/officeDocument/2006/relationships/hyperlink" Target="http://www.mef.gob.pe/contenidos/conta_publ/con_nor_co/vigentes/ciniif/CINIIF_014_2014.pdf" TargetMode="External"/><Relationship Id="rId95" Type="http://schemas.openxmlformats.org/officeDocument/2006/relationships/hyperlink" Target="http://www.mef.gob.pe/contenidos/conta_publ/con_nor_co/vigentes/ciniif/CINIIF_019_2014.pdf" TargetMode="External"/><Relationship Id="rId19" Type="http://schemas.openxmlformats.org/officeDocument/2006/relationships/hyperlink" Target="http://www.ven-nif.com/normas/ba-ven-nif.html" TargetMode="External"/><Relationship Id="rId14" Type="http://schemas.openxmlformats.org/officeDocument/2006/relationships/hyperlink" Target="https://es.wikipedia.org/wiki/1973" TargetMode="External"/><Relationship Id="rId22" Type="http://schemas.openxmlformats.org/officeDocument/2006/relationships/hyperlink" Target="http://www.ven-nif.com/normas/ba-ven-nif/ba-ven-nif-4.html" TargetMode="External"/><Relationship Id="rId27" Type="http://schemas.openxmlformats.org/officeDocument/2006/relationships/hyperlink" Target="http://www.ven-nif.com/normas/ba-ven-nif/ba-ven-nif-9.html" TargetMode="External"/><Relationship Id="rId30" Type="http://schemas.openxmlformats.org/officeDocument/2006/relationships/hyperlink" Target="http://www.mef.gob.pe/contenidos/conta_publ/con_nor_co/vigentes/nic/NIC_001_2014.pdf" TargetMode="External"/><Relationship Id="rId35" Type="http://schemas.openxmlformats.org/officeDocument/2006/relationships/hyperlink" Target="http://www.mef.gob.pe/contenidos/conta_publ/con_nor_co/vigentes/nic/NIC_011_2014.pdf" TargetMode="External"/><Relationship Id="rId43" Type="http://schemas.openxmlformats.org/officeDocument/2006/relationships/hyperlink" Target="http://www.mef.gob.pe/contenidos/conta_publ/con_nor_co/vigentes/nic/NIC_023_2014.pdf" TargetMode="External"/><Relationship Id="rId48" Type="http://schemas.openxmlformats.org/officeDocument/2006/relationships/hyperlink" Target="http://www.mef.gob.pe/contenidos/conta_publ/con_nor_co/vigentes/nic/NIC_029_2014.pdf" TargetMode="External"/><Relationship Id="rId56" Type="http://schemas.openxmlformats.org/officeDocument/2006/relationships/hyperlink" Target="http://www.mef.gob.pe/contenidos/conta_publ/con_nor_co/vigentes/nic/NIC_040_2014.pdf" TargetMode="External"/><Relationship Id="rId64" Type="http://schemas.openxmlformats.org/officeDocument/2006/relationships/hyperlink" Target="http://www.mef.gob.pe/contenidos/conta_publ/con_nor_co/vigentes/niif/NIIF_006_2014.pdf" TargetMode="External"/><Relationship Id="rId69" Type="http://schemas.openxmlformats.org/officeDocument/2006/relationships/hyperlink" Target="http://www.mef.gob.pe/contenidos/conta_publ/con_nor_co/vigentes/niif/NIIF_011_2014.pdf" TargetMode="External"/><Relationship Id="rId77" Type="http://schemas.openxmlformats.org/officeDocument/2006/relationships/hyperlink" Target="http://www.mef.gob.pe/contenidos/conta_publ/con_nor_co/vigentes/sic/SIC_029_2014.pdf" TargetMode="External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mef.gob.pe/contenidos/conta_publ/con_nor_co/vigentes/nic/NIC_034_2014.pdf" TargetMode="External"/><Relationship Id="rId72" Type="http://schemas.openxmlformats.org/officeDocument/2006/relationships/hyperlink" Target="http://www.ven-nif.com/normas/sic.html" TargetMode="External"/><Relationship Id="rId80" Type="http://schemas.openxmlformats.org/officeDocument/2006/relationships/hyperlink" Target="http://www.ven-nif.com/normas/ciniif.html" TargetMode="External"/><Relationship Id="rId85" Type="http://schemas.openxmlformats.org/officeDocument/2006/relationships/hyperlink" Target="http://www.mef.gob.pe/contenidos/conta_publ/con_nor_co/vigentes/ciniif/CINIIF_006_2014.pdf" TargetMode="External"/><Relationship Id="rId93" Type="http://schemas.openxmlformats.org/officeDocument/2006/relationships/hyperlink" Target="http://www.mef.gob.pe/contenidos/conta_publ/con_nor_co/vigentes/ciniif/CINIIF_017_2014.pdf" TargetMode="External"/><Relationship Id="rId98" Type="http://schemas.openxmlformats.org/officeDocument/2006/relationships/hyperlink" Target="http://www.fccpv.org/cont3/data/files/NIIF-PYMES-2009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/index.php?title=Sistema_de_informaci%C3%B3n_contable&amp;action=edit&amp;redlink=1" TargetMode="External"/><Relationship Id="rId17" Type="http://schemas.openxmlformats.org/officeDocument/2006/relationships/hyperlink" Target="https://es.wikipedia.org/wiki/Junta_de_Normas_Internacionales_de_Contabilidad" TargetMode="External"/><Relationship Id="rId25" Type="http://schemas.openxmlformats.org/officeDocument/2006/relationships/hyperlink" Target="http://www.ven-nif.com/normas/ba-ven-nif/ba-ven-nif-7.html" TargetMode="External"/><Relationship Id="rId33" Type="http://schemas.openxmlformats.org/officeDocument/2006/relationships/hyperlink" Target="http://www.mef.gob.pe/contenidos/conta_publ/con_nor_co/vigentes/nic/NIC_008_2014.pdf" TargetMode="External"/><Relationship Id="rId38" Type="http://schemas.openxmlformats.org/officeDocument/2006/relationships/hyperlink" Target="http://www.mef.gob.pe/contenidos/conta_publ/con_nor_co/vigentes/nic/NIC_017_2014.pdf" TargetMode="External"/><Relationship Id="rId46" Type="http://schemas.openxmlformats.org/officeDocument/2006/relationships/hyperlink" Target="http://www.mef.gob.pe/contenidos/conta_publ/con_nor_co/vigentes/nic/NIC_027_2014.pdf" TargetMode="External"/><Relationship Id="rId59" Type="http://schemas.openxmlformats.org/officeDocument/2006/relationships/hyperlink" Target="http://www.mef.gob.pe/contenidos/conta_publ/con_nor_co/vigentes/niif/NIIF_001_2014.pdf" TargetMode="External"/><Relationship Id="rId67" Type="http://schemas.openxmlformats.org/officeDocument/2006/relationships/hyperlink" Target="http://www.mef.gob.pe/contenidos/conta_publ/con_nor_co/vigentes/niif/NIIF_009_2014.pdf" TargetMode="External"/><Relationship Id="rId20" Type="http://schemas.openxmlformats.org/officeDocument/2006/relationships/hyperlink" Target="http://www.ven-nif.com/normas/ba-ven-nif/ba-ven-nif-0.html" TargetMode="External"/><Relationship Id="rId41" Type="http://schemas.openxmlformats.org/officeDocument/2006/relationships/hyperlink" Target="http://www.mef.gob.pe/contenidos/conta_publ/con_nor_co/vigentes/nic/NIC_020_2014.pdf" TargetMode="External"/><Relationship Id="rId54" Type="http://schemas.openxmlformats.org/officeDocument/2006/relationships/hyperlink" Target="http://www.mef.gob.pe/contenidos/conta_publ/con_nor_co/vigentes/nic/NIC_038_2014.pdf" TargetMode="External"/><Relationship Id="rId62" Type="http://schemas.openxmlformats.org/officeDocument/2006/relationships/hyperlink" Target="http://www.mef.gob.pe/contenidos/conta_publ/con_nor_co/vigentes/niif/NIIF_004_2014.pdf" TargetMode="External"/><Relationship Id="rId70" Type="http://schemas.openxmlformats.org/officeDocument/2006/relationships/hyperlink" Target="http://www.mef.gob.pe/contenidos/conta_publ/con_nor_co/vigentes/niif/NIIF_012_2014.pdf" TargetMode="External"/><Relationship Id="rId75" Type="http://schemas.openxmlformats.org/officeDocument/2006/relationships/hyperlink" Target="http://www.mef.gob.pe/contenidos/conta_publ/con_nor_co/vigentes/sic/SIC_025_2014.pdf" TargetMode="External"/><Relationship Id="rId83" Type="http://schemas.openxmlformats.org/officeDocument/2006/relationships/hyperlink" Target="http://www.mef.gob.pe/contenidos/conta_publ/con_nor_co/vigentes/ciniif/CINIIF_004_2014.pdf" TargetMode="External"/><Relationship Id="rId88" Type="http://schemas.openxmlformats.org/officeDocument/2006/relationships/hyperlink" Target="http://www.mef.gob.pe/contenidos/conta_publ/con_nor_co/vigentes/ciniif/CINIIF_012_2014.pdf" TargetMode="External"/><Relationship Id="rId91" Type="http://schemas.openxmlformats.org/officeDocument/2006/relationships/hyperlink" Target="http://www.mef.gob.pe/contenidos/conta_publ/con_nor_co/vigentes/ciniif/CINIIF_015_2014.pdf" TargetMode="External"/><Relationship Id="rId96" Type="http://schemas.openxmlformats.org/officeDocument/2006/relationships/hyperlink" Target="http://www.mef.gob.pe/contenidos/conta_publ/con_nor_co/vigentes/ciniif/CINIIF_020_201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s.wikipedia.org/wiki/2001" TargetMode="External"/><Relationship Id="rId23" Type="http://schemas.openxmlformats.org/officeDocument/2006/relationships/hyperlink" Target="http://www.ven-nif.com/normas/ba-ven-nif/ba-ven-nif-5.html" TargetMode="External"/><Relationship Id="rId28" Type="http://schemas.openxmlformats.org/officeDocument/2006/relationships/hyperlink" Target="http://www.ven-nif.com/normas/nic.html" TargetMode="External"/><Relationship Id="rId36" Type="http://schemas.openxmlformats.org/officeDocument/2006/relationships/hyperlink" Target="http://www.mef.gob.pe/contenidos/conta_publ/con_nor_co/vigentes/nic/NIC_012_2014.pdf" TargetMode="External"/><Relationship Id="rId49" Type="http://schemas.openxmlformats.org/officeDocument/2006/relationships/hyperlink" Target="http://www.mef.gob.pe/contenidos/conta_publ/con_nor_co/vigentes/nic/NIC_032_2014.pdf" TargetMode="External"/><Relationship Id="rId57" Type="http://schemas.openxmlformats.org/officeDocument/2006/relationships/hyperlink" Target="http://www.mef.gob.pe/contenidos/conta_publ/con_nor_co/vigentes/nic/NIC_041_2014.pdf" TargetMode="External"/><Relationship Id="rId10" Type="http://schemas.openxmlformats.org/officeDocument/2006/relationships/hyperlink" Target="https://es.wikipedia.org/wiki/Junta_de_Normas_Internacionales_de_Contabilidad" TargetMode="External"/><Relationship Id="rId31" Type="http://schemas.openxmlformats.org/officeDocument/2006/relationships/hyperlink" Target="http://www.mef.gob.pe/contenidos/conta_publ/con_nor_co/vigentes/nic/NIC_002_2014.pdf" TargetMode="External"/><Relationship Id="rId44" Type="http://schemas.openxmlformats.org/officeDocument/2006/relationships/hyperlink" Target="http://www.mef.gob.pe/contenidos/conta_publ/con_nor_co/vigentes/nic/NIC_024_2014.pdf" TargetMode="External"/><Relationship Id="rId52" Type="http://schemas.openxmlformats.org/officeDocument/2006/relationships/hyperlink" Target="http://www.mef.gob.pe/contenidos/conta_publ/con_nor_co/vigentes/nic/NIC_036_2014.pdf" TargetMode="External"/><Relationship Id="rId60" Type="http://schemas.openxmlformats.org/officeDocument/2006/relationships/hyperlink" Target="http://www.mef.gob.pe/contenidos/conta_publ/con_nor_co/vigentes/niif/NIIF_002_2014.pdf" TargetMode="External"/><Relationship Id="rId65" Type="http://schemas.openxmlformats.org/officeDocument/2006/relationships/hyperlink" Target="http://www.mef.gob.pe/contenidos/conta_publ/con_nor_co/vigentes/niif/NIIF_007_2014.pdf" TargetMode="External"/><Relationship Id="rId73" Type="http://schemas.openxmlformats.org/officeDocument/2006/relationships/hyperlink" Target="http://www.mef.gob.pe/contenidos/conta_publ/con_nor_co/vigentes/sic/SIC_010_2014.pdf" TargetMode="External"/><Relationship Id="rId78" Type="http://schemas.openxmlformats.org/officeDocument/2006/relationships/hyperlink" Target="http://www.mef.gob.pe/contenidos/conta_publ/con_nor_co/vigentes/sic/SIC_031_2014.pdf" TargetMode="External"/><Relationship Id="rId81" Type="http://schemas.openxmlformats.org/officeDocument/2006/relationships/hyperlink" Target="http://www.mef.gob.pe/contenidos/conta_publ/con_nor_co/vigentes/ciniif/CINIIF_001_2014.pdf" TargetMode="External"/><Relationship Id="rId86" Type="http://schemas.openxmlformats.org/officeDocument/2006/relationships/hyperlink" Target="http://www.mef.gob.pe/contenidos/conta_publ/con_nor_co/vigentes/ciniif/CINIIF_007_2014.pdf" TargetMode="External"/><Relationship Id="rId94" Type="http://schemas.openxmlformats.org/officeDocument/2006/relationships/hyperlink" Target="http://www.mef.gob.pe/contenidos/conta_publ/con_nor_co/vigentes/ciniif/CINIIF_018_2014.pdf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Idioma_ingl%C3%A9s" TargetMode="External"/><Relationship Id="rId13" Type="http://schemas.openxmlformats.org/officeDocument/2006/relationships/hyperlink" Target="https://es.wikipedia.org/w/index.php?title=CINIIF&amp;action=edit&amp;redlink=1" TargetMode="External"/><Relationship Id="rId18" Type="http://schemas.openxmlformats.org/officeDocument/2006/relationships/hyperlink" Target="https://es.wikipedia.org/wiki/Junta_de_Normas_Internacionales_de_Contabilidad" TargetMode="External"/><Relationship Id="rId39" Type="http://schemas.openxmlformats.org/officeDocument/2006/relationships/hyperlink" Target="http://www.mef.gob.pe/contenidos/conta_publ/con_nor_co/vigentes/nic/NIC_018_20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37BC-2B1D-4E11-AB6A-8E5B1C9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3298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gnya</Company>
  <LinksUpToDate>false</LinksUpToDate>
  <CharactersWithSpaces>21401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NARDY</dc:creator>
  <cp:lastModifiedBy>Usuario</cp:lastModifiedBy>
  <cp:revision>2</cp:revision>
  <cp:lastPrinted>2014-09-01T20:45:00Z</cp:lastPrinted>
  <dcterms:created xsi:type="dcterms:W3CDTF">2016-06-16T17:02:00Z</dcterms:created>
  <dcterms:modified xsi:type="dcterms:W3CDTF">2016-06-16T17:02:00Z</dcterms:modified>
</cp:coreProperties>
</file>